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09D195" w14:textId="04F72543" w:rsidR="002D16A0" w:rsidRPr="001D62F3" w:rsidRDefault="00464094" w:rsidP="008C6D5F">
      <w:pPr>
        <w:pStyle w:val="Title2"/>
        <w:spacing w:line="360" w:lineRule="auto"/>
        <w:rPr>
          <w:b w:val="0"/>
          <w:color w:val="FF0000"/>
        </w:rPr>
      </w:pPr>
      <w:bookmarkStart w:id="0" w:name="_Hlk175778937"/>
      <w:r w:rsidRPr="00C31D03">
        <w:rPr>
          <w:bCs/>
        </w:rPr>
        <w:t>Solution-processed zinc-tin-based ternary oxide electron transport layers for planar perovskite solar cells</w:t>
      </w:r>
    </w:p>
    <w:bookmarkEnd w:id="0"/>
    <w:p w14:paraId="71BA3FD4" w14:textId="77777777" w:rsidR="002D16A0" w:rsidRPr="00A35E4A" w:rsidRDefault="002D16A0">
      <w:pPr>
        <w:pStyle w:val="Tableofcontents"/>
      </w:pPr>
    </w:p>
    <w:p w14:paraId="112FAE37" w14:textId="4278A176" w:rsidR="002D16A0" w:rsidRPr="00464094" w:rsidRDefault="00464094" w:rsidP="008C6D5F">
      <w:pPr>
        <w:pStyle w:val="AuthorsFull"/>
        <w:spacing w:line="360" w:lineRule="auto"/>
        <w:rPr>
          <w:bCs/>
          <w:lang w:bidi="en-US"/>
        </w:rPr>
      </w:pPr>
      <w:r w:rsidRPr="00464094">
        <w:rPr>
          <w:bCs/>
          <w:lang w:bidi="en-US"/>
        </w:rPr>
        <w:t>Saad Nadeem, Nadia Shahzad</w:t>
      </w:r>
      <w:r>
        <w:rPr>
          <w:bCs/>
          <w:lang w:bidi="en-US"/>
        </w:rPr>
        <w:t>*</w:t>
      </w:r>
      <w:r w:rsidRPr="00464094">
        <w:rPr>
          <w:bCs/>
          <w:lang w:bidi="en-US"/>
        </w:rPr>
        <w:t xml:space="preserve">, Sana Mehmood, Muhammad Salik Qureshi, Abdul Sattar, Rabia Liaquat, Sehar Shakir, Muhammad Imran Shahzad, </w:t>
      </w:r>
      <w:r w:rsidR="00C1106A">
        <w:rPr>
          <w:bCs/>
          <w:lang w:bidi="en-US"/>
        </w:rPr>
        <w:t xml:space="preserve">and </w:t>
      </w:r>
      <w:r w:rsidRPr="00464094">
        <w:rPr>
          <w:bCs/>
          <w:lang w:bidi="en-US"/>
        </w:rPr>
        <w:t>Diego Pugliese</w:t>
      </w:r>
      <w:r w:rsidR="002D16A0" w:rsidRPr="00A35E4A">
        <w:t xml:space="preserve"> </w:t>
      </w:r>
    </w:p>
    <w:p w14:paraId="23CEBEF5" w14:textId="77777777" w:rsidR="002D16A0" w:rsidRPr="00A35E4A" w:rsidRDefault="002D16A0">
      <w:pPr>
        <w:pStyle w:val="Tableofcontents"/>
      </w:pPr>
    </w:p>
    <w:p w14:paraId="4D8089E1" w14:textId="502CF65A" w:rsidR="007B7A09" w:rsidRDefault="00464094" w:rsidP="008C6D5F">
      <w:pPr>
        <w:pStyle w:val="Addresses"/>
        <w:spacing w:line="360" w:lineRule="auto"/>
      </w:pPr>
      <w:r>
        <w:t>S. Nadeem, N. Shahzad, S. Mehmood, R. Liaquat, S. Shakir</w:t>
      </w:r>
    </w:p>
    <w:p w14:paraId="26C8C0F7" w14:textId="3CBFB11F" w:rsidR="00464094" w:rsidRDefault="00464094" w:rsidP="008C6D5F">
      <w:pPr>
        <w:pStyle w:val="Addresses"/>
        <w:spacing w:line="360" w:lineRule="auto"/>
      </w:pPr>
      <w:r w:rsidRPr="00464094">
        <w:t>U.S.-Pakistan Centre for Advanced Studies in Energy (USPCAS-E), National University of Sciences &amp; Technology (NUST), H-12 Sector, 44000 Islamabad, Pakistan</w:t>
      </w:r>
    </w:p>
    <w:p w14:paraId="57366483" w14:textId="6617C30D" w:rsidR="007B7A09" w:rsidRPr="00F058FD" w:rsidRDefault="007B7A09" w:rsidP="008C6D5F">
      <w:pPr>
        <w:pStyle w:val="Addresses"/>
        <w:spacing w:line="360" w:lineRule="auto"/>
        <w:rPr>
          <w:lang w:val="it-IT"/>
        </w:rPr>
      </w:pPr>
      <w:r w:rsidRPr="00F058FD">
        <w:rPr>
          <w:lang w:val="it-IT"/>
        </w:rPr>
        <w:t xml:space="preserve">E-mail: </w:t>
      </w:r>
      <w:r w:rsidR="00813C0B" w:rsidRPr="00F058FD">
        <w:rPr>
          <w:lang w:val="it-IT"/>
        </w:rPr>
        <w:t>nadia@uspcase.nust.edu.pk</w:t>
      </w:r>
    </w:p>
    <w:p w14:paraId="5CBAE562" w14:textId="77777777" w:rsidR="00C56CD4" w:rsidRPr="00F058FD" w:rsidRDefault="00C56CD4" w:rsidP="008C6D5F">
      <w:pPr>
        <w:pStyle w:val="Addresses"/>
        <w:spacing w:line="360" w:lineRule="auto"/>
        <w:rPr>
          <w:lang w:val="it-IT"/>
        </w:rPr>
      </w:pPr>
    </w:p>
    <w:p w14:paraId="08FEBABE" w14:textId="28D6F78C" w:rsidR="007B7A09" w:rsidRPr="00A35E4A" w:rsidRDefault="00813C0B" w:rsidP="008C6D5F">
      <w:pPr>
        <w:pStyle w:val="Addresses"/>
        <w:spacing w:line="360" w:lineRule="auto"/>
      </w:pPr>
      <w:r>
        <w:t>M.</w:t>
      </w:r>
      <w:r w:rsidR="00C1106A">
        <w:t xml:space="preserve"> </w:t>
      </w:r>
      <w:r>
        <w:t>S. Qureshi</w:t>
      </w:r>
      <w:r w:rsidR="007B7A09" w:rsidRPr="00A35E4A">
        <w:br/>
      </w:r>
      <w:r w:rsidRPr="00813C0B">
        <w:t>Electrical Engineering and Computer Science (EECS) Department, Khalifa University, 127788 Abu Dhabi, UAE</w:t>
      </w:r>
    </w:p>
    <w:p w14:paraId="2F4ED235" w14:textId="77777777" w:rsidR="002D16A0" w:rsidRDefault="002D16A0" w:rsidP="008C6D5F">
      <w:pPr>
        <w:spacing w:line="360" w:lineRule="auto"/>
        <w:rPr>
          <w:lang w:val="en-US"/>
        </w:rPr>
      </w:pPr>
    </w:p>
    <w:p w14:paraId="3C23D8E8" w14:textId="460881F0" w:rsidR="00813C0B" w:rsidRPr="00A35E4A" w:rsidRDefault="00813C0B" w:rsidP="00813C0B">
      <w:pPr>
        <w:pStyle w:val="Addresses"/>
        <w:spacing w:line="360" w:lineRule="auto"/>
      </w:pPr>
      <w:r w:rsidRPr="00813C0B">
        <w:t>A.</w:t>
      </w:r>
      <w:r>
        <w:t xml:space="preserve"> Sattar</w:t>
      </w:r>
      <w:r w:rsidRPr="00A35E4A">
        <w:br/>
      </w:r>
      <w:r w:rsidRPr="00813C0B">
        <w:t xml:space="preserve">Energy </w:t>
      </w:r>
      <w:proofErr w:type="spellStart"/>
      <w:r w:rsidRPr="00813C0B">
        <w:t>Materiaux</w:t>
      </w:r>
      <w:proofErr w:type="spellEnd"/>
      <w:r w:rsidRPr="00813C0B">
        <w:t xml:space="preserve"> Telecommunications Research Center, </w:t>
      </w:r>
      <w:proofErr w:type="spellStart"/>
      <w:r w:rsidRPr="00813C0B">
        <w:t>Institut</w:t>
      </w:r>
      <w:proofErr w:type="spellEnd"/>
      <w:r w:rsidRPr="00813C0B">
        <w:t xml:space="preserve"> National de la Recherche </w:t>
      </w:r>
      <w:proofErr w:type="spellStart"/>
      <w:r w:rsidRPr="00813C0B">
        <w:t>Scientifique</w:t>
      </w:r>
      <w:proofErr w:type="spellEnd"/>
      <w:r w:rsidRPr="00813C0B">
        <w:t xml:space="preserve"> (INRS-EMT), G1K 9A9 Quebec, Canada</w:t>
      </w:r>
    </w:p>
    <w:p w14:paraId="45C89C60" w14:textId="77777777" w:rsidR="00813C0B" w:rsidRDefault="00813C0B" w:rsidP="008C6D5F">
      <w:pPr>
        <w:spacing w:line="360" w:lineRule="auto"/>
        <w:rPr>
          <w:lang w:val="en-US"/>
        </w:rPr>
      </w:pPr>
    </w:p>
    <w:p w14:paraId="3B9EA464" w14:textId="59E37ADE" w:rsidR="00813C0B" w:rsidRPr="00A35E4A" w:rsidRDefault="00813C0B" w:rsidP="00813C0B">
      <w:pPr>
        <w:pStyle w:val="Addresses"/>
        <w:spacing w:line="360" w:lineRule="auto"/>
      </w:pPr>
      <w:r>
        <w:t>M.</w:t>
      </w:r>
      <w:r w:rsidR="00C1106A">
        <w:t xml:space="preserve"> </w:t>
      </w:r>
      <w:r>
        <w:t>I. Shahzad</w:t>
      </w:r>
      <w:r w:rsidRPr="00A35E4A">
        <w:br/>
      </w:r>
      <w:r w:rsidRPr="00813C0B">
        <w:t>Nanosciences and Technology Department (NS&amp;TD), National Centre for Physics (NCP), 44000 Islamabad, Pakistan</w:t>
      </w:r>
    </w:p>
    <w:p w14:paraId="605518A0" w14:textId="77777777" w:rsidR="00813C0B" w:rsidRDefault="00813C0B" w:rsidP="008C6D5F">
      <w:pPr>
        <w:spacing w:line="360" w:lineRule="auto"/>
        <w:rPr>
          <w:lang w:val="en-US"/>
        </w:rPr>
      </w:pPr>
    </w:p>
    <w:p w14:paraId="6099A529" w14:textId="1A72E412" w:rsidR="00813C0B" w:rsidRDefault="00813C0B" w:rsidP="00813C0B">
      <w:pPr>
        <w:pStyle w:val="Addresses"/>
        <w:spacing w:line="360" w:lineRule="auto"/>
      </w:pPr>
      <w:r>
        <w:t>D. Pugliese</w:t>
      </w:r>
      <w:r w:rsidRPr="00A35E4A">
        <w:br/>
      </w:r>
      <w:r w:rsidRPr="00813C0B">
        <w:t>National Institute of Metrological Research (INRiM), 10135 Torino, Italy</w:t>
      </w:r>
    </w:p>
    <w:p w14:paraId="25DE61A3" w14:textId="77777777" w:rsidR="00813C0B" w:rsidRPr="00A34F32" w:rsidRDefault="00813C0B" w:rsidP="008C6D5F">
      <w:pPr>
        <w:spacing w:line="360" w:lineRule="auto"/>
        <w:rPr>
          <w:lang w:val="en-US"/>
        </w:rPr>
      </w:pPr>
    </w:p>
    <w:p w14:paraId="7DE30428" w14:textId="79EE9087" w:rsidR="00901D14" w:rsidRPr="00813C0B" w:rsidRDefault="00901D14" w:rsidP="008C6D5F">
      <w:pPr>
        <w:spacing w:line="360" w:lineRule="auto"/>
        <w:rPr>
          <w:rFonts w:eastAsia="MS Gothic"/>
          <w:lang w:val="en-US" w:bidi="en-US"/>
        </w:rPr>
      </w:pPr>
      <w:r w:rsidRPr="00B24F38">
        <w:rPr>
          <w:bCs/>
          <w:lang w:val="en-US"/>
        </w:rPr>
        <w:t xml:space="preserve">Keywords: </w:t>
      </w:r>
      <w:r w:rsidR="00813C0B" w:rsidRPr="00813C0B">
        <w:rPr>
          <w:rFonts w:eastAsia="MS Gothic"/>
          <w:lang w:val="en-US" w:bidi="en-US"/>
        </w:rPr>
        <w:t>ternary metal oxide, electron transport layer, bilayer, ambient fabrication, perovskite solar cell</w:t>
      </w:r>
    </w:p>
    <w:p w14:paraId="0923689F" w14:textId="77777777" w:rsidR="00004A23" w:rsidRDefault="00004A23" w:rsidP="008C6D5F">
      <w:pPr>
        <w:spacing w:line="360" w:lineRule="auto"/>
        <w:rPr>
          <w:lang w:val="en-US"/>
        </w:rPr>
      </w:pPr>
    </w:p>
    <w:p w14:paraId="715717A1" w14:textId="5791C5B6" w:rsidR="00813C0B" w:rsidRPr="00813C0B" w:rsidRDefault="00813C0B" w:rsidP="00813C0B">
      <w:pPr>
        <w:spacing w:line="360" w:lineRule="auto"/>
        <w:rPr>
          <w:lang w:val="en-US" w:bidi="en-US"/>
        </w:rPr>
      </w:pPr>
      <w:r w:rsidRPr="00813C0B">
        <w:rPr>
          <w:lang w:val="en-US" w:bidi="en-US"/>
        </w:rPr>
        <w:t xml:space="preserve">Perovskite solar cells (PSCs) have acquired popularity owing to their high efficiency, ease of fabrication, and affordability. In this context, the development of electron transport layers (ETLs) for highly efficient planar photovoltaic devices has received considerable attention. This study investigates the potential of zinc-tin-based ternary metal oxide ETLs for application in planar PSCs. Solution-processed methods </w:t>
      </w:r>
      <w:r w:rsidR="00C1106A">
        <w:rPr>
          <w:lang w:val="en-US" w:bidi="en-US"/>
        </w:rPr>
        <w:t>are</w:t>
      </w:r>
      <w:r w:rsidR="00C1106A" w:rsidRPr="00813C0B">
        <w:rPr>
          <w:lang w:val="en-US" w:bidi="en-US"/>
        </w:rPr>
        <w:t xml:space="preserve"> </w:t>
      </w:r>
      <w:r w:rsidRPr="00813C0B">
        <w:rPr>
          <w:lang w:val="en-US" w:bidi="en-US"/>
        </w:rPr>
        <w:t xml:space="preserve">used to fabricate crystalline zinc </w:t>
      </w:r>
      <w:r w:rsidRPr="00813C0B">
        <w:rPr>
          <w:lang w:val="en-US" w:bidi="en-US"/>
        </w:rPr>
        <w:lastRenderedPageBreak/>
        <w:t>stannate (Zn</w:t>
      </w:r>
      <w:r w:rsidRPr="00813C0B">
        <w:rPr>
          <w:vertAlign w:val="subscript"/>
          <w:lang w:val="en-US" w:bidi="en-US"/>
        </w:rPr>
        <w:t>2</w:t>
      </w:r>
      <w:r w:rsidRPr="00813C0B">
        <w:rPr>
          <w:lang w:val="en-US" w:bidi="en-US"/>
        </w:rPr>
        <w:t>SnO</w:t>
      </w:r>
      <w:r w:rsidRPr="00813C0B">
        <w:rPr>
          <w:vertAlign w:val="subscript"/>
          <w:lang w:val="en-US" w:bidi="en-US"/>
        </w:rPr>
        <w:t>4</w:t>
      </w:r>
      <w:r w:rsidRPr="00813C0B">
        <w:rPr>
          <w:lang w:val="en-US" w:bidi="en-US"/>
        </w:rPr>
        <w:t>), amorphous zinc-tin oxide (ZTO), and Zn</w:t>
      </w:r>
      <w:r w:rsidRPr="00813C0B">
        <w:rPr>
          <w:vertAlign w:val="subscript"/>
          <w:lang w:val="en-US" w:bidi="en-US"/>
        </w:rPr>
        <w:t>2</w:t>
      </w:r>
      <w:r w:rsidRPr="00813C0B">
        <w:rPr>
          <w:lang w:val="en-US" w:bidi="en-US"/>
        </w:rPr>
        <w:t>SnO</w:t>
      </w:r>
      <w:r w:rsidRPr="00813C0B">
        <w:rPr>
          <w:vertAlign w:val="subscript"/>
          <w:lang w:val="en-US" w:bidi="en-US"/>
        </w:rPr>
        <w:t>4</w:t>
      </w:r>
      <w:r w:rsidRPr="00813C0B">
        <w:rPr>
          <w:lang w:val="en-US" w:bidi="en-US"/>
        </w:rPr>
        <w:t xml:space="preserve">/ZTO-based bilayer films, and their structural, morphological, and optoelectronic properties </w:t>
      </w:r>
      <w:r w:rsidR="00C1106A">
        <w:rPr>
          <w:lang w:val="en-US" w:bidi="en-US"/>
        </w:rPr>
        <w:t>are</w:t>
      </w:r>
      <w:r w:rsidR="00C1106A" w:rsidRPr="00813C0B">
        <w:rPr>
          <w:lang w:val="en-US" w:bidi="en-US"/>
        </w:rPr>
        <w:t xml:space="preserve"> </w:t>
      </w:r>
      <w:r w:rsidRPr="00813C0B">
        <w:rPr>
          <w:lang w:val="en-US" w:bidi="en-US"/>
        </w:rPr>
        <w:t>thoroughly studied. X-ray diffraction (XRD) analysis and scanning electron microscopy (SEM) images show enhanced crystallite size and better surface morphology of perovskite films deposited on bilayer ETL. Photoluminescence (PL) studies and Hall effect measurements reveal superior charge extraction, improved charge carrier mobility (21.84 cm</w:t>
      </w:r>
      <w:r w:rsidRPr="00813C0B">
        <w:rPr>
          <w:vertAlign w:val="superscript"/>
          <w:lang w:val="en-US" w:bidi="en-US"/>
        </w:rPr>
        <w:t>2</w:t>
      </w:r>
      <w:r w:rsidRPr="00813C0B">
        <w:rPr>
          <w:lang w:val="en-US" w:bidi="en-US"/>
        </w:rPr>
        <w:t>/V</w:t>
      </w:r>
      <w:r w:rsidRPr="00813C0B">
        <w:rPr>
          <w:lang w:val="en-US" w:bidi="en-US"/>
        </w:rPr>
        <w:sym w:font="Symbol" w:char="F0D7"/>
      </w:r>
      <w:r w:rsidRPr="00813C0B">
        <w:rPr>
          <w:lang w:val="en-US" w:bidi="en-US"/>
        </w:rPr>
        <w:t xml:space="preserve">s) and enhanced n-type conductivity in the bilayer ETL. Moreover, contact angle analysis of perovskite layer deposited on bilayer ETL </w:t>
      </w:r>
      <w:r w:rsidR="00C1106A" w:rsidRPr="00813C0B">
        <w:rPr>
          <w:lang w:val="en-US" w:bidi="en-US"/>
        </w:rPr>
        <w:t>show</w:t>
      </w:r>
      <w:r w:rsidR="00C1106A">
        <w:rPr>
          <w:lang w:val="en-US" w:bidi="en-US"/>
        </w:rPr>
        <w:t>s</w:t>
      </w:r>
      <w:r w:rsidR="00C1106A" w:rsidRPr="00813C0B">
        <w:rPr>
          <w:lang w:val="en-US" w:bidi="en-US"/>
        </w:rPr>
        <w:t xml:space="preserve"> </w:t>
      </w:r>
      <w:r w:rsidRPr="00813C0B">
        <w:rPr>
          <w:lang w:val="en-US" w:bidi="en-US"/>
        </w:rPr>
        <w:t>increased resistance to moisture erosion (52.20°) which is particularly significant given the detrimental effects moisture can have on the performance of PSCs.</w:t>
      </w:r>
    </w:p>
    <w:p w14:paraId="4D80973E" w14:textId="77777777" w:rsidR="00662DCE" w:rsidRPr="009B706A" w:rsidRDefault="00662DCE" w:rsidP="008C6D5F">
      <w:pPr>
        <w:spacing w:line="360" w:lineRule="auto"/>
        <w:rPr>
          <w:lang w:val="en-US"/>
        </w:rPr>
      </w:pPr>
    </w:p>
    <w:p w14:paraId="59370DE6" w14:textId="77777777" w:rsidR="002D16A0" w:rsidRPr="00DC43A2" w:rsidRDefault="002D16A0" w:rsidP="00DC43A2">
      <w:pPr>
        <w:pStyle w:val="Head1"/>
      </w:pPr>
      <w:r w:rsidRPr="00DC43A2">
        <w:t>1. Introduction</w:t>
      </w:r>
    </w:p>
    <w:p w14:paraId="2921D236" w14:textId="59AEFF52" w:rsidR="00813C0B" w:rsidRPr="00F03D02" w:rsidRDefault="00813C0B" w:rsidP="00813C0B">
      <w:pPr>
        <w:spacing w:line="360" w:lineRule="auto"/>
        <w:rPr>
          <w:bCs/>
          <w:vertAlign w:val="superscript"/>
          <w:lang w:val="en-US"/>
        </w:rPr>
      </w:pPr>
      <w:r w:rsidRPr="00813C0B">
        <w:rPr>
          <w:bCs/>
          <w:lang w:val="en-US" w:bidi="en-US"/>
        </w:rPr>
        <w:t>First introduced in 2009, organic-inorganic hybrid metal halide PSCs have garnered significant interest among the solar energy community as a potential alternative to conventional photovoltaic technologies, such as silicon solar cells. Perovskite materials possess a remarkable array of characteristics, including high absorption rates, lower exciton binding energies, high charge carrier diffusion length, tunable band gaps and solution-processable low-cost fabrication methods.</w:t>
      </w:r>
      <w:r w:rsidR="00F03D02">
        <w:rPr>
          <w:bCs/>
          <w:vertAlign w:val="superscript"/>
          <w:lang w:val="en-US" w:bidi="en-US"/>
        </w:rPr>
        <w:t>[</w:t>
      </w:r>
      <w:r w:rsidRPr="00813C0B">
        <w:rPr>
          <w:bCs/>
          <w:lang w:val="en-US" w:bidi="en-US"/>
        </w:rPr>
        <w:fldChar w:fldCharType="begin" w:fldLock="1"/>
      </w:r>
      <w:r w:rsidRPr="00813C0B">
        <w:rPr>
          <w:bCs/>
          <w:lang w:val="en-US" w:bidi="en-US"/>
        </w:rPr>
        <w:instrText xml:space="preserve">ADDIN CSL_CITATION {"citationItems":[{"id":"ITEM-1","itemData":{"DOI":"10.1039/c6ta04503k","ISSN":"20507496","abstract":"Recent progress has shown that low-temperature processed tin oxide (SnO2) is an excellent electron selective layer (ESL) material for fabricating highly efficient organic-inorganic metal-halide perovskite solar cells with a planar cell structure. Low-temperature processing and a planar cell structure are desirable characteristics for large-scale device manufacturing due to their associated low costs and processing simplicity. Here, we report that plasma-enhanced atomic layer deposition (PEALD) is able to lower the deposition temperature of SnO2 ESLs to below 100 °C and still achieve high device performance. With C60-self-assembled monolayer passivation, our PEALD SnO2 ESLs deposited at </w:instrText>
      </w:r>
      <w:r w:rsidRPr="00813C0B">
        <w:rPr>
          <w:rFonts w:ascii="Cambria Math" w:hAnsi="Cambria Math" w:cs="Cambria Math"/>
          <w:bCs/>
          <w:lang w:val="en-US" w:bidi="en-US"/>
        </w:rPr>
        <w:instrText>∼</w:instrText>
      </w:r>
      <w:r w:rsidRPr="00813C0B">
        <w:rPr>
          <w:bCs/>
          <w:lang w:val="en-US" w:bidi="en-US"/>
        </w:rPr>
        <w:instrText>100 °C led to average power conversion efficiencies higher than 18% (maximum of 19.03%) and 15% (maximum of 16.80%) under reverse voltage scan for solar cells fabricated on glass and flexible polymer substrates, respectively. Our results thus demonstrate the potential of the low-temperature PEALD process of SnO2 ESLs for large-scale manufacturing of efficient perovskite solar cells.","author":[{"dropping-particle":"","family":"Wang","given":"Changlei","non-dropping-particle":"","parse-names":false,"suffix":""},{"dropping-particle":"","family":"Zhao","given":"Dewei","non-dropping-particle":"","parse-names":false,"suffix":""},{"dropping-particle":"","family":"Grice","given":"Corey R.","non-dropping-particle":"","parse-names":false,"suffix":""},{"dropping-particle":"","family":"Liao","given":"Weiqiang","non-dropping-particle":"","parse-names":false,"suffix":""},{"dropping-particle":"","family":"Yu","given":"Yue","non-dropping-particle":"","parse-names":false,"suffix":""},{"dropping-particle":"","family":"Cimaroli","given":"Alexander","non-dropping-particle":"","parse-names":false,"suffix":""},{"dropping-particle":"","family":"Shrestha","given":"Niraj","non-dropping-particle":"","parse-names":false,"suffix":""},{"dropping-particle":"","family":"Roland","given":"Paul J.","non-dropping-particle":"","parse-names":false,"suffix":""},{"dropping-particle":"","family":"Chen","given":"Jing","non-dropping-particle":"","parse-names":false,"suffix":""},{"dropping-particle":"","family":"Yu","given":"Zhenhua","non-dropping-particle":"","parse-names":false,"suffix":""},{"dropping-particle":"","family":"Liu","given":"Pei","non-dropping-particle":"","parse-names":false,"suffix":""},{"dropping-particle":"","family":"Cheng","given":"Nian","non-dropping-particle":"","parse-names":false,"suffix":""},{"dropping-particle":"","family":"Ellingson","given":"Randy J.","non-dropping-particle":"","parse-names":false,"suffix":""},{"dropping-particle":"","family":"Zhao","given":"Xingzhong","non-dropping-particle":"","parse-names":false,"suffix":""},{"dropping-particle":"","family":"Yan","given":"Yanfa","non-dropping-particle":"","parse-names":false,"suffix":""}],"container-title":"Journal of Materials Chemistry A","id":"ITEM-1","issue":"31","issued":{"date-parts":[["2016"]]},"page":"12080-12087","title":"Low-temperature plasma-enhanced atomic layer deposition of tin oxide electron selective layers for highly efficient planar perovskite solar cells","type":"article-journal","volume":"4"},"uris":["http://www.mendeley.com/documents/?uuid=12cc6f89-d9f0-434a-b3f7-60c14e643ed9"]},{"id":"ITEM-2","itemData":{"DOI":"10.1002/advs.201800130","ISSN":"21983844","abstract":"Planar perovskite solar cells using low-temperature atomic layer deposition (ALD) of the SnO2 electron transporting layer (ETL), with excellent electron extraction and hole-blocking ability, offer significant advantages compared with high-temperature deposition methods. The optical, chemical, and electrical properties of the ALD SnO2 layer and its influence on the device performance are investigated. It is found that surface passivation of SnO2 is essential to reduce charge recombination at the perovskite and ETL interface and show that the fabricated planar perovskite solar cells exhibit high reproducibility, stability, and power conversion efficiency of 20%.","author":[{"dropping-particle":"","family":"Lee","given":"Yonghui","non-dropping-particle":"","parse-names":false,"suffix":""},{"dropping-particle":"","family":"Lee","given":"Seunghwan","non-dropping-particle":"","parse-names":false,"suffix":""},{"dropping-particle":"","family":"Seo","given":"Gabseok","non-dropping-particle":"","parse-names":false,"suffix":""},{"dropping-particle":"","family":"Paek","given":"Sanghyun","non-dropping-particle":"","parse-names":false,"suffix":""},{"dropping-particle":"","family":"Cho","given":"Kyung Taek","non-dropping-particle":"","parse-names":false,"suffix":""},{"dropping-particle":"","family":"Huckaba","given":"Aron J.","non-dropping-particle":"","parse-names":false,"suffix":""},{"dropping-particle":"","family":"Calizzi","given":"Marco","non-dropping-particle":"","parse-names":false,"suffix":""},{"dropping-particle":"","family":"Choi","given":"Dong won","non-dropping-particle":"","parse-names":false,"suffix":""},{"dropping-particle":"","family":"Park","given":"Jin Seong","non-dropping-particle":"","parse-names":false,"suffix":""},{"dropping-particle":"","family":"Lee","given":"Dongwook","non-dropping-particle":"","parse-names":false,"suffix":""},{"dropping-particle":"","family":"Lee","given":"Hyo Joong","non-dropping-particle":"","parse-names":false,"suffix":""},{"dropping-particle":"","family":"Asiri","given":"Abdullah M.","non-dropping-particle":"","parse-names":false,"suffix":""},{"dropping-particle":"","family":"Nazeeruddin","given":"Mohammad Khaja","non-dropping-particle":"","parse-names":false,"suffix":""}],"container-title":"Advanced Science","id":"ITEM-2","issue":"6","issued":{"date-parts":[["2018"]]},"page":"1-6","title":"Efficient Planar Perovskite Solar Cells Using Passivated Tin Oxide as an Electron Transport Layer","type":"article-journal","volume":"5"},"uris":["http://www.mendeley.com/documents/?uuid=1fb4bf98-7bb0-4082-a973-4f4598aef745"]},{"id":"ITEM-3","itemData":{"DOI":"10.1039/C8TC01871E","ISSN":"20507526","abstract":"To achieve high-performance perovskite light-emitting diodes (PeLEDs), an appropriate functional layer beneath the perovskite emissive layer is significantly important to modulate the morphology of the perovskite film and to facilitate charge injection and transport in the device. Herein, for the first time, we report efficient n-i-p structured PeLEDs using solution-processed SnO2 as an electron transport layer. Three-dimensional perovskites, such as CH(NH2)2PbI3 and CH3NH3PbI3, are found to be more chemically compatible with SnO2 than with commonly used ZnO. In addition, SnO2 shows good transparency, excellent morphology and suitable energy levels. These properties make SnO2 a promising candidate in both three- and low-dimensional PeLEDs, among which a high external quantum efficiency of 7.9% has been realized. Furthermore, interfacial materials that are widely used to improve the device performances of ZnO-based PeLEDs are also applied on SnO2-based PeLEDs and their effects have been systematically studied. In contrast to ZnO, SnO2 modified by these interfacial materials shows detrimental effects due to photoluminescence quenching.","author":[{"dropping-particle":"","family":"Wang","given":"Heyong","non-dropping-particle":"","parse-names":false,"suffix":""},{"dropping-particle":"","family":"Yu","given":"Hongling","non-dropping-particle":"","parse-names":false,"suffix":""},{"dropping-particle":"","family":"Xu","given":"Weidong","non-dropping-particle":"","parse-names":false,"suffix":""},{"dropping-particle":"","family":"Yuan","given":"Zhongcheng","non-dropping-particle":"","parse-names":false,"suffix":""},{"dropping-particle":"","family":"Yan","given":"Zhibo","non-dropping-particle":"","parse-names":false,"suffix":""},{"dropping-particle":"","family":"Wang","given":"Chuanfei","non-dropping-particle":"","parse-names":false,"suffix":""},{"dropping-particle":"","family":"Liu","given":"Xianjie","non-dropping-particle":"","parse-names":false,"suffix":""},{"dropping-particle":"","family":"Fahlman","given":"Mats","non-dropping-particle":"","parse-names":false,"suffix":""},{"dropping-particle":"","family":"Liu","given":"Jun Ming","non-dropping-particle":"","parse-names":false,"suffix":""},{"dropping-particle":"","family":"Liu","given":"Xiao Ke","non-dropping-particle":"","parse-names":false,"suffix":""},{"dropping-particle":"","family":"Gao","given":"Feng","non-dropping-particle":"","parse-names":false,"suffix":""}],"container-title":"Journal of Materials Chemistry C","id":"ITEM-3","issue":"26","issued":{"date-parts":[["2018"]]},"page":"6996-7002","publisher":"Royal Society of Chemistry","title":"Efficient perovskite light-emitting diodes based on a solution-processed tin dioxide electron transport layer","type":"article-journal","volume":"6"},"uris":["http://www.mendeley.com/documents/?uuid=3524c895-6871-4464-99dc-a717479eed3b"]},{"id":"ITEM-4","itemData":{"DOI":"10.1039/c6ta05095f","ISSN":"20507496","abstract":"Both tin oxide (SnO2) and fullerenes have been reported as electron selective layers (ESLs) for producing efficient lead halide perovskite solar cells. Here, we report that SnO2 and fullerenes can work cooperatively to further boost the performance of perovskite solar cells. We find that fullerenes can be redissolved during perovskite deposition, allowing ultra-thin fullerenes to be retained at the interface and some dissolved fullerenes infiltrate into perovskite grain boundaries. The SnO2 layer blocks holes effectively; whereas, the fullerenes promote electron transfer and passivate both the SnO2/perovskite interface and perovskite grain boundaries. With careful device optimization, the best-performing planar perovskite solar cell using a fullerene passivated SnO2 ESL has achieved a steady-state efficiency of 17.75% and a power conversion efficiency of 19.12% with an open circuit voltage of 1.12 V, a short-circuit current density of 22.61 mA cm-2, and a fill factor of 75.8% when measured under reverse voltage scanning. We find that the partial dissolving of fullerenes during perovskite deposition is the key for fabricating high-performance perovskite solar cells based on metal oxide/fullerene ESLs.","author":[{"dropping-particle":"","family":"Ke","given":"Weijun","non-dropping-particle":"","parse-names":false,"suffix":""},{"dropping-particle":"","family":"Zhao","given":"Dewei","non-dropping-particle":"","parse-names":false,"suffix":""},{"dropping-particle":"","family":"Xiao","given":"Chuanxiao","non-dropping-particle":"","parse-names":false,"suffix":""},{"dropping-particle":"","family":"Wang","given":"Changlei","non-dropping-particle":"","parse-names":false,"suffix":""},{"dropping-particle":"","family":"Cimaroli","given":"Alexander J.","non-dropping-particle":"","parse-names":false,"suffix":""},{"dropping-particle":"","family":"Grice","given":"Corey R.","non-dropping-particle":"","parse-names":false,"suffix":""},{"dropping-particle":"","family":"Yang","given":"Mengjin","non-dropping-particle":"","parse-names":false,"suffix":""},{"dropping-particle":"","family":"Li","given":"Zhen","non-dropping-particle":"","parse-names":false,"suffix":""},{"dropping-particle":"","family":"Jiang","given":"Chun Sheng","non-dropping-particle":"","parse-names":false,"suffix":""},{"dropping-particle":"","family":"Al-Jassim","given":"Mowafak","non-dropping-particle":"","parse-names":false,"suffix":""},{"dropping-particle":"","family":"Zhu","given":"Kai","non-dropping-particle":"","parse-names":false,"suffix":""},{"dropping-particle":"","family":"Kanatzidis","given":"Mercouri G.","non-dropping-particle":"","parse-names":false,"suffix":""},{"dropping-particle":"","family":"Fang","given":"Guojia","non-dropping-particle":"","parse-names":false,"suffix":""},{"dropping-particle":"","family":"Yan","given":"Yanfa","non-dropping-particle":"","parse-names":false,"suffix":""}],"container-title":"Journal of Materials Chemistry A","id":"ITEM-4","issue":"37","issued":{"date-parts":[["2016"]]},"page":"14276-14283","title":"Cooperative tin oxide fullerene electron selective layers for high-performance planar perovskite solar cells","type":"article-journal","volume":"4"},"uris":["http://www.mendeley.com/documents/?uuid=8d2fa31c-7dfc-48ca-bec1-4a0c6c395c05"]},{"id":"ITEM-5","itemData":{"DOI":"10.1021/acsami.9b09238","ISSN":"19448252","PMID":"31436075","abstract":"Tin dioxide (SnO2) has been widely applied as an electron transport layer (ETL) for the n-i-p-Type perovskite solar cells (Pero-SCs). However, the existence of defects at the surface of SnO2 and the hysteresis behavior of the devices with SnO2 ETL limit its application in the Pero-SCs. In this study, a fullerene derivative pyrrolidinofullerene C60-substituted phenol (NPC60-OH) was synthesized and applied to modify the SnO2 ETL in Pero-SCs for the first time. The systematic and comparative characterizations demonstrated that, after the introduction of an NPC60-OH modification layer on the SnO2 ETL, the perovskite films in the corresponding device showed enlarged grain size and these devices presented enhanced electron transport and decreased charge recombination velocity. Besides, the NPC60-OH layer could significantly reduce the trap-state density in the perovskite film. As a result, a champion power conversion efficiency (PCE) of 21.39% was achieved for the SnO2/NPC60-OH-based Pero-SCs, with suppressed hysteresis and improved stability, while the control devices with pristine SnO2 ETL showed a lower PCE of 19.04%.","author":[{"dropping-particle":"","family":"Cao","given":"Tiantian","non-dropping-particle":"","parse-names":false,"suffix":""},{"dropping-particle":"","family":"Chen","given":"Kang","non-dropping-particle":"","parse-names":false,"suffix":""},{"dropping-particle":"","family":"Chen","given":"Qiaoyun","non-dropping-particle":"","parse-names":false,"suffix":""},{"dropping-particle":"","family":"Zhou","given":"Yi","non-dropping-particle":"","parse-names":false,"suffix":""},{"dropping-particle":"","family":"Chen","given":"Ning","non-dropping-particle":"","parse-names":false,"suffix":""},{"dropping-particle":"","family":"Li","given":"Yongfang","non-dropping-particle":"","parse-names":false,"suffix":""}],"container-title":"ACS Applied Materials and Interfaces","id":"ITEM-5","issue":"37","issued":{"date-parts":[["2019"]]},"page":"33825-33834","title":"Fullerene Derivative-Modified SnO2 Electron Transport Layer for Highly Efficient Perovskite Solar Cells with Efficiency over 21%","type":"article-journal","volume":"11"},"uris":["http://www.mendeley.com/documents/?uuid=f16ce640-1b36-46d9-a61f-264bdce2a6bc"]}],"mendeley":{"formattedCitation":"&lt;sup&gt;1–5&lt;/sup&gt;","plainTextFormattedCitation":"1–5","previouslyFormattedCitation":"&lt;sup&gt;1–5&lt;/sup&gt;"},"properties":{"noteIndex":0},"schema":"https://github.com/citation-style-language/schema/raw/master/csl-citation.json"}</w:instrText>
      </w:r>
      <w:r w:rsidRPr="00813C0B">
        <w:rPr>
          <w:bCs/>
          <w:lang w:val="en-US" w:bidi="en-US"/>
        </w:rPr>
        <w:fldChar w:fldCharType="separate"/>
      </w:r>
      <w:r w:rsidRPr="00813C0B">
        <w:rPr>
          <w:bCs/>
          <w:vertAlign w:val="superscript"/>
          <w:lang w:val="en-US" w:bidi="en-US"/>
        </w:rPr>
        <w:t>1–5</w:t>
      </w:r>
      <w:r w:rsidRPr="00813C0B">
        <w:rPr>
          <w:bCs/>
          <w:lang w:val="en-US"/>
        </w:rPr>
        <w:fldChar w:fldCharType="end"/>
      </w:r>
      <w:r w:rsidR="00F03D02">
        <w:rPr>
          <w:bCs/>
          <w:vertAlign w:val="superscript"/>
          <w:lang w:val="en-US"/>
        </w:rPr>
        <w:t>]</w:t>
      </w:r>
      <w:r w:rsidRPr="00813C0B">
        <w:rPr>
          <w:bCs/>
          <w:lang w:val="en-US" w:bidi="en-US"/>
        </w:rPr>
        <w:t xml:space="preserve"> Over the years, the power conversion efficiency (PCE) of PSCs has undergone substantial advancements, surging from an initial 3.8% to an impressive certified PCE of 26.1% in 2024.</w:t>
      </w:r>
      <w:r w:rsidR="00F03D02">
        <w:rPr>
          <w:bCs/>
          <w:vertAlign w:val="superscript"/>
          <w:lang w:val="en-US" w:bidi="en-US"/>
        </w:rPr>
        <w:t>[</w:t>
      </w:r>
      <w:r w:rsidRPr="00813C0B">
        <w:rPr>
          <w:bCs/>
          <w:lang w:val="en-US" w:bidi="en-US"/>
        </w:rPr>
        <w:fldChar w:fldCharType="begin" w:fldLock="1"/>
      </w:r>
      <w:r w:rsidRPr="00813C0B">
        <w:rPr>
          <w:bCs/>
          <w:lang w:val="en-US" w:bidi="en-US"/>
        </w:rPr>
        <w:instrText>ADDIN CSL_CITATION {"citationItems":[{"id":"ITEM-1","itemData":{"URL":"https://www.nrel.gov/pv/cell-efficiency.html","accessed":{"date-parts":[["2023","4","11"]]},"id":"ITEM-1","issued":{"date-parts":[["0"]]},"title":"Best Research-Cell Efficiency Chart | Photovoltaic Research | NREL","type":"webpage"},"uris":["http://www.mendeley.com/documents/?uuid=3bef9a37-65ba-3ed5-a7b2-7b7135bde77f"]}],"mendeley":{"formattedCitation":"&lt;sup&gt;6&lt;/sup&gt;","plainTextFormattedCitation":"6","previouslyFormattedCitation":"&lt;sup&gt;6&lt;/sup&gt;"},"properties":{"noteIndex":0},"schema":"https://github.com/citation-style-language/schema/raw/master/csl-citation.json"}</w:instrText>
      </w:r>
      <w:r w:rsidRPr="00813C0B">
        <w:rPr>
          <w:bCs/>
          <w:lang w:val="en-US" w:bidi="en-US"/>
        </w:rPr>
        <w:fldChar w:fldCharType="separate"/>
      </w:r>
      <w:r w:rsidRPr="00813C0B">
        <w:rPr>
          <w:bCs/>
          <w:vertAlign w:val="superscript"/>
          <w:lang w:val="en-US" w:bidi="en-US"/>
        </w:rPr>
        <w:t>6</w:t>
      </w:r>
      <w:r w:rsidRPr="00813C0B">
        <w:rPr>
          <w:bCs/>
          <w:lang w:val="en-US"/>
        </w:rPr>
        <w:fldChar w:fldCharType="end"/>
      </w:r>
      <w:r w:rsidR="00F03D02">
        <w:rPr>
          <w:bCs/>
          <w:vertAlign w:val="superscript"/>
          <w:lang w:val="en-US"/>
        </w:rPr>
        <w:t>]</w:t>
      </w:r>
    </w:p>
    <w:p w14:paraId="4FBC80C4" w14:textId="74AFA7F7" w:rsidR="00813C0B" w:rsidRPr="00F03D02" w:rsidRDefault="00813C0B" w:rsidP="00B453F9">
      <w:pPr>
        <w:spacing w:line="360" w:lineRule="auto"/>
        <w:ind w:firstLine="708"/>
        <w:rPr>
          <w:bCs/>
          <w:vertAlign w:val="superscript"/>
          <w:lang w:val="en-US"/>
        </w:rPr>
      </w:pPr>
      <w:r w:rsidRPr="00813C0B">
        <w:rPr>
          <w:bCs/>
          <w:lang w:val="en-US" w:bidi="en-US"/>
        </w:rPr>
        <w:t>The primary composition of PSCs includes the following three layers: the ETL, an absorber layer and the hole transport layer (HTL). These cells can be arranged into two primary architectures, which are referred to as n-</w:t>
      </w:r>
      <w:proofErr w:type="spellStart"/>
      <w:r w:rsidRPr="00813C0B">
        <w:rPr>
          <w:bCs/>
          <w:lang w:val="en-US" w:bidi="en-US"/>
        </w:rPr>
        <w:t>i</w:t>
      </w:r>
      <w:proofErr w:type="spellEnd"/>
      <w:r w:rsidRPr="00813C0B">
        <w:rPr>
          <w:bCs/>
          <w:lang w:val="en-US" w:bidi="en-US"/>
        </w:rPr>
        <w:t>-p (regular) planar and p-</w:t>
      </w:r>
      <w:proofErr w:type="spellStart"/>
      <w:r w:rsidRPr="00813C0B">
        <w:rPr>
          <w:bCs/>
          <w:lang w:val="en-US" w:bidi="en-US"/>
        </w:rPr>
        <w:t>i</w:t>
      </w:r>
      <w:proofErr w:type="spellEnd"/>
      <w:r w:rsidRPr="00813C0B">
        <w:rPr>
          <w:bCs/>
          <w:lang w:val="en-US" w:bidi="en-US"/>
        </w:rPr>
        <w:t>-n (inverted) planar.</w:t>
      </w:r>
      <w:r w:rsidR="00F03D02">
        <w:rPr>
          <w:bCs/>
          <w:vertAlign w:val="superscript"/>
          <w:lang w:val="en-US" w:bidi="en-US"/>
        </w:rPr>
        <w:t>[</w:t>
      </w:r>
      <w:r w:rsidRPr="00813C0B">
        <w:rPr>
          <w:bCs/>
          <w:lang w:val="en-US" w:bidi="en-US"/>
        </w:rPr>
        <w:fldChar w:fldCharType="begin" w:fldLock="1"/>
      </w:r>
      <w:r w:rsidRPr="00813C0B">
        <w:rPr>
          <w:bCs/>
          <w:lang w:val="en-US" w:bidi="en-US"/>
        </w:rPr>
        <w:instrText>ADDIN CSL_CITATION {"citationItems":[{"id":"ITEM-1","itemData":{"DOI":"10.3390/en14061751","ISSN":"19961073","abstract":"In this paper, we demonstrate the high potentialities of pristine single-cation and mixed cation/anion perovskite solar cells (PSC) fabricated by sequential method deposition in p-i-n planar architecture (ITO/NiOX /Perovskite/PCBM/BCP/Ag) in ambient conditions. We applied the crystal engineering approach for perovskite deposition to control the quality and crystallinity of the light-harvesting film. The formation of a full converted and uniform perovskite absorber layer from poriferous pre-film on a planar hole transporting layer (HTL) is one of the crucial factors for the fabrication of high-performance PSCs. We show that the in-air sequential deposited MAPbI3-based PSCs on planar nickel oxide (NiOX ) permitted to obtain a Power Conversion Efficiency (PCE) exceeding 14% while the (FA,MA,Cs)Pb(I,Br)3-based PSC achieved 15.6%. In this paper we also compared the influence of transporting layers on the cell performance by testing material depositions quantity and thickness (for hole transporting layer), and conditions of deposition processes (for electron transporting layer). Moreover, we optimized second step of perovskite deposition by varying the dipping time of substrates into the MA(I,Br) solution. We have shown that the layer by layer deposition of the NiOx is the key point to improve the efficiency for inverted perovskite solar cell out of glove-box using sequential deposition method, increasing the relative efficiency of +26% with respect to reference cells.","author":[{"dropping-particle":"","family":"Ermanova","given":"Inga","non-dropping-particle":"","parse-names":false,"suffix":""},{"dropping-particle":"","family":"Yaghoobi Nia","given":"Narges","non-dropping-particle":"","parse-names":false,"suffix":""},{"dropping-particle":"","family":"Lamanna","given":"Enrico","non-dropping-particle":"","parse-names":false,"suffix":""},{"dropping-particle":"","family":"Bartolomeo","given":"Elisabetta","non-dropping-particle":"Di","parse-names":false,"suffix":""},{"dropping-particle":"","family":"Kolesnikov","given":"Evgeny","non-dropping-particle":"","parse-names":false,"suffix":""},{"dropping-particle":"","family":"Luchnikov","given":"Lev","non-dropping-particle":"","parse-names":false,"suffix":""},{"dropping-particle":"","family":"Carlo","given":"Aldo","non-dropping-particle":"Di","parse-names":false,"suffix":""}],"container-title":"Energies","id":"ITEM-1","issue":"6","issued":{"date-parts":[["2021"]]},"page":"1-15","title":"Crystal engineering approach for fabrication of inverted perovskite solar cell in ambient conditions","type":"article-journal","volume":"14"},"uris":["http://www.mendeley.com/documents/?uuid=4fa3b957-fd62-4fcf-8489-70dc70873b26"]}],"mendeley":{"formattedCitation":"&lt;sup&gt;7&lt;/sup&gt;","plainTextFormattedCitation":"7","previouslyFormattedCitation":"&lt;sup&gt;7&lt;/sup&gt;"},"properties":{"noteIndex":0},"schema":"https://github.com/citation-style-language/schema/raw/master/csl-citation.json"}</w:instrText>
      </w:r>
      <w:r w:rsidRPr="00813C0B">
        <w:rPr>
          <w:bCs/>
          <w:lang w:val="en-US" w:bidi="en-US"/>
        </w:rPr>
        <w:fldChar w:fldCharType="separate"/>
      </w:r>
      <w:r w:rsidRPr="00813C0B">
        <w:rPr>
          <w:bCs/>
          <w:vertAlign w:val="superscript"/>
          <w:lang w:val="en-US" w:bidi="en-US"/>
        </w:rPr>
        <w:t>7</w:t>
      </w:r>
      <w:r w:rsidRPr="00813C0B">
        <w:rPr>
          <w:bCs/>
          <w:lang w:val="en-US"/>
        </w:rPr>
        <w:fldChar w:fldCharType="end"/>
      </w:r>
      <w:r w:rsidR="00F03D02">
        <w:rPr>
          <w:bCs/>
          <w:vertAlign w:val="superscript"/>
          <w:lang w:val="en-US"/>
        </w:rPr>
        <w:t>]</w:t>
      </w:r>
      <w:r w:rsidRPr="00813C0B">
        <w:rPr>
          <w:bCs/>
          <w:lang w:val="en-US" w:bidi="en-US"/>
        </w:rPr>
        <w:t xml:space="preserve"> PSCs can be further classified, within the context of the conventional n-</w:t>
      </w:r>
      <w:proofErr w:type="spellStart"/>
      <w:r w:rsidRPr="00813C0B">
        <w:rPr>
          <w:bCs/>
          <w:lang w:val="en-US" w:bidi="en-US"/>
        </w:rPr>
        <w:t>i</w:t>
      </w:r>
      <w:proofErr w:type="spellEnd"/>
      <w:r w:rsidRPr="00813C0B">
        <w:rPr>
          <w:bCs/>
          <w:lang w:val="en-US" w:bidi="en-US"/>
        </w:rPr>
        <w:t>-p architecture, into mesoporous and non-mesoporous, or "planar" structures.</w:t>
      </w:r>
      <w:r w:rsidR="00F03D02">
        <w:rPr>
          <w:bCs/>
          <w:vertAlign w:val="superscript"/>
          <w:lang w:val="en-US" w:bidi="en-US"/>
        </w:rPr>
        <w:t>[</w:t>
      </w:r>
      <w:r w:rsidRPr="00813C0B">
        <w:rPr>
          <w:bCs/>
          <w:lang w:val="en-US" w:bidi="en-US"/>
        </w:rPr>
        <w:fldChar w:fldCharType="begin" w:fldLock="1"/>
      </w:r>
      <w:r w:rsidRPr="00813C0B">
        <w:rPr>
          <w:bCs/>
          <w:lang w:val="en-US" w:bidi="en-US"/>
        </w:rPr>
        <w:instrText>ADDIN CSL_CITATION {"citationItems":[{"id":"ITEM-1","itemData":{"DOI":"10.1038/ncomms7700","ISSN":"20411723","abstract":"Efficient lead halide perovskite solar cells use hole-blocking layers to help collection of photogenerated electrons and to achieve high open-circuit voltages. Here, we report the realization of efficient perovskite solar cells grown directly on fluorine-doped tin oxide-coated substrates without using any hole-blocking layers. With ultraviolet-ozone treatment of the substrates, a planar Au/hole-transporting material/CH3NH3PbI3-xClx/substrate cell processed by a solution method has achieved a power conversion efficiency of over 14% and an open-circuit voltage of 1.06 V measured under reverse voltage scan. The open-circuit voltage is as high as that of our best reference cell with a TiO2 hole-blocking layer. Besides ultraviolet-ozone treatment, we find that involving Cl in the synthesis is another key for realizing high open-circuit voltage perovskite solar cells without hole-blocking layers. Our results suggest that TiO2 may not be the ultimate interfacial material for achieving high-performance perovskite solar cells.","author":[{"dropping-particle":"","family":"Ke","given":"Weijun","non-dropping-particle":"","parse-names":false,"suffix":""},{"dropping-particle":"","family":"Fang","given":"Guojia","non-dropping-particle":"","parse-names":false,"suffix":""},{"dropping-particle":"","family":"Wan","given":"Jiawei","non-dropping-particle":"","parse-names":false,"suffix":""},{"dropping-particle":"","family":"Tao","given":"Hong","non-dropping-particle":"","parse-names":false,"suffix":""},{"dropping-particle":"","family":"Liu","given":"Qin","non-dropping-particle":"","parse-names":false,"suffix":""},{"dropping-particle":"","family":"Xiong","given":"Liangbin","non-dropping-particle":"","parse-names":false,"suffix":""},{"dropping-particle":"","family":"Qin","given":"Pingli","non-dropping-particle":"","parse-names":false,"suffix":""},{"dropping-particle":"","family":"Wang","given":"Jing","non-dropping-particle":"","parse-names":false,"suffix":""},{"dropping-particle":"","family":"Lei","given":"Hongwei","non-dropping-particle":"","parse-names":false,"suffix":""},{"dropping-particle":"","family":"Yang","given":"Guang","non-dropping-particle":"","parse-names":false,"suffix":""},{"dropping-particle":"","family":"Qin","given":"Minchao","non-dropping-particle":"","parse-names":false,"suffix":""},{"dropping-particle":"","family":"Zhao","given":"Xingzhong","non-dropping-particle":"","parse-names":false,"suffix":""},{"dropping-particle":"","family":"Yan","given":"Yanfa","non-dropping-particle":"","parse-names":false,"suffix":""}],"container-title":"Nature Communications","id":"ITEM-1","issued":{"date-parts":[["2015"]]},"page":"1-7","publisher":"Nature Publishing Group","title":"Efficient hole-blocking layer-free planar halide perovskite thin-film solar cells","type":"article-journal","volume":"6"},"uris":["http://www.mendeley.com/documents/?uuid=d49db6a6-ee9b-47a9-93bf-7915fe5fd481"]}],"mendeley":{"formattedCitation":"&lt;sup&gt;8&lt;/sup&gt;","plainTextFormattedCitation":"8","previouslyFormattedCitation":"&lt;sup&gt;8&lt;/sup&gt;"},"properties":{"noteIndex":0},"schema":"https://github.com/citation-style-language/schema/raw/master/csl-citation.json"}</w:instrText>
      </w:r>
      <w:r w:rsidRPr="00813C0B">
        <w:rPr>
          <w:bCs/>
          <w:lang w:val="en-US" w:bidi="en-US"/>
        </w:rPr>
        <w:fldChar w:fldCharType="separate"/>
      </w:r>
      <w:r w:rsidRPr="00813C0B">
        <w:rPr>
          <w:bCs/>
          <w:vertAlign w:val="superscript"/>
          <w:lang w:val="en-US" w:bidi="en-US"/>
        </w:rPr>
        <w:t>8</w:t>
      </w:r>
      <w:r w:rsidRPr="00813C0B">
        <w:rPr>
          <w:bCs/>
          <w:lang w:val="en-US"/>
        </w:rPr>
        <w:fldChar w:fldCharType="end"/>
      </w:r>
      <w:r w:rsidR="00F03D02">
        <w:rPr>
          <w:bCs/>
          <w:vertAlign w:val="superscript"/>
          <w:lang w:val="en-US"/>
        </w:rPr>
        <w:t>]</w:t>
      </w:r>
      <w:r w:rsidRPr="00813C0B">
        <w:rPr>
          <w:bCs/>
          <w:lang w:val="en-US" w:bidi="en-US"/>
        </w:rPr>
        <w:t xml:space="preserve"> While much of the past research has focused on mesoporous structures, planar configurations have gained significant interest due to their synthesis at lower temperatures and less complicated device structures, which are advantageous for industrial applications.</w:t>
      </w:r>
      <w:r w:rsidR="00F03D02">
        <w:rPr>
          <w:bCs/>
          <w:vertAlign w:val="superscript"/>
          <w:lang w:val="en-US" w:bidi="en-US"/>
        </w:rPr>
        <w:t>[</w:t>
      </w:r>
      <w:r w:rsidRPr="00813C0B">
        <w:rPr>
          <w:bCs/>
          <w:lang w:val="en-US" w:bidi="en-US"/>
        </w:rPr>
        <w:fldChar w:fldCharType="begin" w:fldLock="1"/>
      </w:r>
      <w:r w:rsidRPr="00813C0B">
        <w:rPr>
          <w:bCs/>
          <w:lang w:val="en-US" w:bidi="en-US"/>
        </w:rPr>
        <w:instrText>ADDIN CSL_CITATION {"citationItems":[{"id":"ITEM-1","itemData":{"ISSN":"10959203","PMID":"25082697","abstract":"Several symptoms associated with chronic pain, including fatigue and depression, are characterized by reduced motivation to initiate or complete goal-directed tasks. However, it is unknown whether maladaptive modifications in neural circuits that regulate motivation occur during chronic pain. Here, we demonstrate that the decreased motivation elicited inmice by two different models of chronic pain requires a galanin receptor 1-triggered depression of excitatory synaptic transmission in indirect pathway nucleus accumbens medium spiny neurons.T hese results demonstrate a previously unknown pathological adaption in a key node of motivational neural circuitry that is required for one of the major sequela of chronic pain states and syndromes.","author":[{"dropping-particle":"","family":"Huanping Zhou","given":"","non-dropping-particle":"","parse-names":false,"suffix":""},{"dropping-particle":"","family":"Qi Chen","given":"","non-dropping-particle":"","parse-names":false,"suffix":""},{"dropping-particle":"","family":"Gang Li","given":"","non-dropping-particle":"","parse-names":false,"suffix":""},{"dropping-particle":"","family":"Luo Song","given":"","non-dropping-particle":"","parse-names":false,"suffix":""},{"dropping-particle":"","family":"Song Tze-bing","given":"","non-dropping-particle":"","parse-names":false,"suffix":""},{"dropping-particle":"","family":"Duan Hsin-Sheng","given":"","non-dropping-particle":"","parse-names":false,"suffix":""},{"dropping-particle":"","family":"Hong Ziruo","given":"","non-dropping-particle":"","parse-names":false,"suffix":""},{"dropping-particle":"","family":"Yang Yang","given":"","non-dropping-particle":"","parse-names":false,"suffix":""}],"container-title":"Science","id":"ITEM-1","issue":"6196","issued":{"date-parts":[["2014"]]},"page":"535-542","title":"Interface engineering of highlyefficient perovskite solar cellsaccumbens","type":"article-journal","volume":"345"},"uris":["http://www.mendeley.com/documents/?uuid=4c2568e6-2dda-4a5f-83aa-5eccfa9eb898"]}],"mendeley":{"formattedCitation":"&lt;sup&gt;9&lt;/sup&gt;","plainTextFormattedCitation":"9","previouslyFormattedCitation":"&lt;sup&gt;9&lt;/sup&gt;"},"properties":{"noteIndex":0},"schema":"https://github.com/citation-style-language/schema/raw/master/csl-citation.json"}</w:instrText>
      </w:r>
      <w:r w:rsidRPr="00813C0B">
        <w:rPr>
          <w:bCs/>
          <w:lang w:val="en-US" w:bidi="en-US"/>
        </w:rPr>
        <w:fldChar w:fldCharType="separate"/>
      </w:r>
      <w:r w:rsidRPr="00813C0B">
        <w:rPr>
          <w:bCs/>
          <w:vertAlign w:val="superscript"/>
          <w:lang w:val="en-US" w:bidi="en-US"/>
        </w:rPr>
        <w:t>9</w:t>
      </w:r>
      <w:r w:rsidRPr="00813C0B">
        <w:rPr>
          <w:bCs/>
          <w:lang w:val="en-US"/>
        </w:rPr>
        <w:fldChar w:fldCharType="end"/>
      </w:r>
      <w:r w:rsidR="00F03D02">
        <w:rPr>
          <w:bCs/>
          <w:vertAlign w:val="superscript"/>
          <w:lang w:val="en-US"/>
        </w:rPr>
        <w:t>]</w:t>
      </w:r>
      <w:r w:rsidRPr="00813C0B">
        <w:rPr>
          <w:bCs/>
          <w:lang w:val="en-US" w:bidi="en-US"/>
        </w:rPr>
        <w:t xml:space="preserve"> Within a conventional n-</w:t>
      </w:r>
      <w:proofErr w:type="spellStart"/>
      <w:r w:rsidRPr="00813C0B">
        <w:rPr>
          <w:bCs/>
          <w:lang w:val="en-US" w:bidi="en-US"/>
        </w:rPr>
        <w:t>i</w:t>
      </w:r>
      <w:proofErr w:type="spellEnd"/>
      <w:r w:rsidRPr="00813C0B">
        <w:rPr>
          <w:bCs/>
          <w:lang w:val="en-US" w:bidi="en-US"/>
        </w:rPr>
        <w:t xml:space="preserve">-p architecture, the n-type compound functions as ETL, adeptly extracting and transferring photogenerated electron charge carriers from the absorber layer to the conductive fluorine-doped tin oxide (FTO) substrate. In contrast, the HTL selectively transports photogenerated holes to the rear electrode, commonly made of gold or silver. Within planar configurations, the compact ETL is crucial for collecting photogenerated electron charge carriers from the absorber layer while simultaneously functioning as a barrier for holes to impede </w:t>
      </w:r>
      <w:r w:rsidRPr="00813C0B">
        <w:rPr>
          <w:bCs/>
          <w:lang w:val="en-US" w:bidi="en-US"/>
        </w:rPr>
        <w:lastRenderedPageBreak/>
        <w:t>recombination. This minimizes photovoltage losses and optimizes device performance. As a result, considerable efforts have been invested in the development of ETLs for highly efficient planar photovoltaic devices. Metal oxides with wide band gaps have gained significant interest due to their inherent qualities, including excellent optoelectronic properties, high conductivity, large dielectric constants, and superior chemical and thermal stability.</w:t>
      </w:r>
      <w:r w:rsidR="00F03D02">
        <w:rPr>
          <w:bCs/>
          <w:vertAlign w:val="superscript"/>
          <w:lang w:val="en-US" w:bidi="en-US"/>
        </w:rPr>
        <w:t>[</w:t>
      </w:r>
      <w:r w:rsidRPr="00813C0B">
        <w:rPr>
          <w:bCs/>
          <w:lang w:val="en-US" w:bidi="en-US"/>
        </w:rPr>
        <w:fldChar w:fldCharType="begin" w:fldLock="1"/>
      </w:r>
      <w:r w:rsidRPr="00813C0B">
        <w:rPr>
          <w:bCs/>
          <w:lang w:val="en-US" w:bidi="en-US"/>
        </w:rPr>
        <w:instrText>ADDIN CSL_CITATION {"citationItems":[{"id":"ITEM-1","itemData":{"DOI":"10.1016/j.egyr.2021.12.010","ISSN":"23524847","abstract":"The performance of a planar Perovskite Solar Cell (PSC), having a novel TiO2/SnO2 bilayer as Electron Transport Layer (ETL), has been optimized. To achieve this, an artificial neural network (ANN) was trained to predict the Power Conversion Efficiency (PCE) as a function of five technological parameters of the PSC namely; Active layer thickness, Hole Transport Layer (HTL) thickness, HTL dopant concentration, Electron Transport Layer (ETL) thickness, and ETL dopant concentration. The model was able to predict the data accurately, with an overall Mean Square Error (MSE) of 0.0002302, Root Mean Square Error of (RMSE) of 0.01502, Sum of Squares Error of (SSE) of 0.4712, and correlation coefficient (R) of 0.9991. Subsequently, the optimum values of independent variables giving the maximum efficiency were determined by applying the Particle Swarm Optimization algorithm to maximize the ANN-derived model. The optimum solutions predicted were then simulated using the SCAPS 1-D program, yielding a PCE of 14.94%. This paper presents a straightforward and efficient methodology by which ANN modeling and nonlinear programming can be applied to carry out multi-property optimization of PSC performance.","author":[{"dropping-particle":"","family":"Oboh","given":"Innocent O.","non-dropping-particle":"","parse-names":false,"suffix":""},{"dropping-particle":"","family":"Offor","given":"Uchechukwu H.","non-dropping-particle":"","parse-names":false,"suffix":""},{"dropping-particle":"","family":"Okon","given":"Nsikakabasi D.","non-dropping-particle":"","parse-names":false,"suffix":""}],"container-title":"Energy Reports","id":"ITEM-1","issued":{"date-parts":[["2022"]]},"page":"973-988","publisher":"Elsevier Ltd","title":"Artificial neural network modeling for potential performance enhancement of a planar perovskite solar cell with a novel TiO2/SnO2 electron transport bilayer using nonlinear programming","type":"article-journal","volume":"8"},"uris":["http://www.mendeley.com/documents/?uuid=68c7db9c-96df-4fd6-9a5c-cc29874636e9"]},{"id":"ITEM-2","itemData":{"DOI":"10.1002/er.7958","ISSN":"1099114X","abstract":"Organic-inorganic perovskite solar cells demonstrate immense potential for future photovoltaic application due to their remarkable efficiency advancements competitively low-cost. To unlock the full capability of perovskite, developments to the neighbouring layers play immense roles in the ultimate performance of a perovskite solar device. Here, a brief review comprising of the advancements and roles of electron transport layers (ETLs) is discussed. In addition, the effects of ETL on the charge transport, hysteresis, and stability of perovskite solar devices, along with high−performing examples, are also explored.","author":[{"dropping-particle":"","family":"Foo","given":"Shini","non-dropping-particle":"","parse-names":false,"suffix":""},{"dropping-particle":"","family":"Thambidurai","given":"Mariyappan","non-dropping-particle":"","parse-names":false,"suffix":""},{"dropping-particle":"","family":"Senthil Kumar","given":"Ponnusamy","non-dropping-particle":"","parse-names":false,"suffix":""},{"dropping-particle":"","family":"Yuvakkumar","given":"Rathinam","non-dropping-particle":"","parse-names":false,"suffix":""},{"dropping-particle":"","family":"Huang","given":"Yizhong","non-dropping-particle":"","parse-names":false,"suffix":""},{"dropping-particle":"","family":"Dang","given":"Cuong","non-dropping-particle":"","parse-names":false,"suffix":""}],"container-title":"International Journal of Energy Research","id":"ITEM-2","issue":"15","issued":{"date-parts":[["2022"]]},"page":"21441-21451","title":"Recent review on electron transport layers in perovskite solar cells","type":"article-journal","volume":"46"},"uris":["http://www.mendeley.com/documents/?uuid=e5ceaa13-f5ec-492b-822e-6edefdabe251"]}],"mendeley":{"formattedCitation":"&lt;sup&gt;10,11&lt;/sup&gt;","plainTextFormattedCitation":"10,11","previouslyFormattedCitation":"&lt;sup&gt;10,11&lt;/sup&gt;"},"properties":{"noteIndex":0},"schema":"https://github.com/citation-style-language/schema/raw/master/csl-citation.json"}</w:instrText>
      </w:r>
      <w:r w:rsidRPr="00813C0B">
        <w:rPr>
          <w:bCs/>
          <w:lang w:val="en-US" w:bidi="en-US"/>
        </w:rPr>
        <w:fldChar w:fldCharType="separate"/>
      </w:r>
      <w:r w:rsidRPr="00813C0B">
        <w:rPr>
          <w:bCs/>
          <w:vertAlign w:val="superscript"/>
          <w:lang w:val="en-US" w:bidi="en-US"/>
        </w:rPr>
        <w:t>10,11</w:t>
      </w:r>
      <w:r w:rsidRPr="00813C0B">
        <w:rPr>
          <w:bCs/>
          <w:lang w:val="en-US"/>
        </w:rPr>
        <w:fldChar w:fldCharType="end"/>
      </w:r>
      <w:r w:rsidR="00F03D02">
        <w:rPr>
          <w:bCs/>
          <w:vertAlign w:val="superscript"/>
          <w:lang w:val="en-US"/>
        </w:rPr>
        <w:t>]</w:t>
      </w:r>
      <w:r w:rsidRPr="00813C0B">
        <w:rPr>
          <w:bCs/>
          <w:lang w:val="en-US" w:bidi="en-US"/>
        </w:rPr>
        <w:t xml:space="preserve"> For PSC applications, wide band gap metal oxides should provide appropriate energy band alignment and high charge carrier mobility to enable optimal device performance. While TiO</w:t>
      </w:r>
      <w:r w:rsidRPr="00813C0B">
        <w:rPr>
          <w:bCs/>
          <w:vertAlign w:val="subscript"/>
          <w:lang w:val="en-US" w:bidi="en-US"/>
        </w:rPr>
        <w:t>2</w:t>
      </w:r>
      <w:r w:rsidRPr="00813C0B">
        <w:rPr>
          <w:bCs/>
          <w:lang w:val="en-US" w:bidi="en-US"/>
        </w:rPr>
        <w:t xml:space="preserve"> remains the widely used ETL in the production of high performance PSCs, its limitations, such as low electron mobility, higher trap states at the TiO</w:t>
      </w:r>
      <w:r w:rsidRPr="00813C0B">
        <w:rPr>
          <w:bCs/>
          <w:vertAlign w:val="subscript"/>
          <w:lang w:val="en-US" w:bidi="en-US"/>
        </w:rPr>
        <w:t>2</w:t>
      </w:r>
      <w:r w:rsidRPr="00813C0B">
        <w:rPr>
          <w:bCs/>
          <w:lang w:val="en-US" w:bidi="en-US"/>
        </w:rPr>
        <w:t>/perovskite junction and inadequate band-offset, have driven research towards alternative ETL materials.</w:t>
      </w:r>
      <w:r w:rsidR="00F03D02">
        <w:rPr>
          <w:bCs/>
          <w:vertAlign w:val="superscript"/>
          <w:lang w:val="en-US" w:bidi="en-US"/>
        </w:rPr>
        <w:t>[</w:t>
      </w:r>
      <w:r w:rsidRPr="00813C0B">
        <w:rPr>
          <w:bCs/>
          <w:lang w:val="en-US" w:bidi="en-US"/>
        </w:rPr>
        <w:fldChar w:fldCharType="begin" w:fldLock="1"/>
      </w:r>
      <w:r w:rsidRPr="00813C0B">
        <w:rPr>
          <w:bCs/>
          <w:lang w:val="en-US" w:bidi="en-US"/>
        </w:rPr>
        <w:instrText>ADDIN CSL_CITATION {"citationItems":[{"id":"ITEM-1","itemData":{"DOI":"10.1016/j.jallcom.2022.164399","ISSN":"09258388","abstract":"We developed heterojunction electron-transfer layers (ETLs) comprising layers of metal oxides and phenyl-C71-butyric acid methyl ester (PCBM) for use in glass/indium tin oxide/hole transport layer/Perovskite/ETL/LiF/Al solar cells and X-ray detectors. Indium gallium zinc oxide (IGZO), tin oxide (SnO2), or IGZO/SnO2 layers were stacked on a PCBM layer via radio frequency (RF) magnetron sputtering at various temperatures. The formation of the metal-oxide layers and on a PCBM film were confirmed by conducting compositional and elemental mapping studies. Current-voltage experimental results show that the heterojunction fabricated by forming a IGZO/SnO2 layer on a PCBM film possessed higher charge carrier capacity and exciton dissociation properties compared with using either IGZO or SnO2 separately. The Perovskite solar cell with an IGZO/SnO2@100/PCBM (100 refers 100oC of RF sputtering temperature) ETL attained a power conversion efficiency (PCE) of 12.56 ± 0.15%, which was 36% more efficient than a device with a pure PCBM ETL (PCE = 9.22 ± 0.09%). Moreover, an X-ray detector fabricated with an IGZO/SnO2@100/PCBM ETL obtained a maximum sensitivity of 3.98 mA/Gy·cm2 and collected charge density (CCD)-dark current density (DCD) of 13.29 μA/cm2.","author":[{"dropping-particle":"","family":"Liu","given":"Hailiang","non-dropping-particle":"","parse-names":false,"suffix":""},{"dropping-particle":"","family":"Hussain","given":"Sajjad","non-dropping-particle":"","parse-names":false,"suffix":""},{"dropping-particle":"","family":"Vikraman","given":"Dhanasekaran","non-dropping-particle":"","parse-names":false,"suffix":""},{"dropping-particle":"","family":"Lee","given":"Jehoon","non-dropping-particle":"","parse-names":false,"suffix":""},{"dropping-particle":"","family":"Jaffery","given":"Syed Hassan Abbas","non-dropping-particle":"","parse-names":false,"suffix":""},{"dropping-particle":"","family":"Jung","given":"Jongwan","non-dropping-particle":"","parse-names":false,"suffix":""},{"dropping-particle":"","family":"Kim","given":"Hyun Seok","non-dropping-particle":"","parse-names":false,"suffix":""},{"dropping-particle":"","family":"Kang","given":"Jungwon","non-dropping-particle":"","parse-names":false,"suffix":""}],"container-title":"Journal of Alloys and Compounds","id":"ITEM-1","issued":{"date-parts":[["2022"]]},"page":"164399","publisher":"Elsevier","title":"Fabrication of InGaZnO-SnO2/PCBM hybrid electron transfer layer for high-performance Perovskite solar cell and X-ray detector","type":"article-journal","volume":"906"},"uris":["http://www.mendeley.com/documents/?uuid=08c9b760-0a88-4d22-ae31-15d4c71aa9bb"]}],"mendeley":{"formattedCitation":"&lt;sup&gt;12&lt;/sup&gt;","plainTextFormattedCitation":"12","previouslyFormattedCitation":"&lt;sup&gt;12&lt;/sup&gt;"},"properties":{"noteIndex":0},"schema":"https://github.com/citation-style-language/schema/raw/master/csl-citation.json"}</w:instrText>
      </w:r>
      <w:r w:rsidRPr="00813C0B">
        <w:rPr>
          <w:bCs/>
          <w:lang w:val="en-US" w:bidi="en-US"/>
        </w:rPr>
        <w:fldChar w:fldCharType="separate"/>
      </w:r>
      <w:r w:rsidRPr="00813C0B">
        <w:rPr>
          <w:bCs/>
          <w:vertAlign w:val="superscript"/>
          <w:lang w:val="en-US" w:bidi="en-US"/>
        </w:rPr>
        <w:t>12</w:t>
      </w:r>
      <w:r w:rsidRPr="00813C0B">
        <w:rPr>
          <w:bCs/>
          <w:lang w:val="en-US"/>
        </w:rPr>
        <w:fldChar w:fldCharType="end"/>
      </w:r>
      <w:r w:rsidR="00F03D02">
        <w:rPr>
          <w:bCs/>
          <w:vertAlign w:val="superscript"/>
          <w:lang w:val="en-US"/>
        </w:rPr>
        <w:t>]</w:t>
      </w:r>
      <w:r w:rsidRPr="00813C0B">
        <w:rPr>
          <w:bCs/>
          <w:lang w:val="en-US" w:bidi="en-US"/>
        </w:rPr>
        <w:t xml:space="preserve"> Despite its favorable band alignment with perovskites, the use of SnO</w:t>
      </w:r>
      <w:r w:rsidRPr="00813C0B">
        <w:rPr>
          <w:bCs/>
          <w:vertAlign w:val="subscript"/>
          <w:lang w:val="en-US" w:bidi="en-US"/>
        </w:rPr>
        <w:t>2</w:t>
      </w:r>
      <w:r w:rsidRPr="00813C0B">
        <w:rPr>
          <w:bCs/>
          <w:lang w:val="en-US" w:bidi="en-US"/>
        </w:rPr>
        <w:t xml:space="preserve"> as an ETL can be limited by its lower conductivity and presence of surface defects leading to charge recombination.</w:t>
      </w:r>
      <w:r w:rsidR="00F03D02">
        <w:rPr>
          <w:bCs/>
          <w:vertAlign w:val="superscript"/>
          <w:lang w:val="en-US" w:bidi="en-US"/>
        </w:rPr>
        <w:t>[</w:t>
      </w:r>
      <w:r w:rsidRPr="00813C0B">
        <w:rPr>
          <w:bCs/>
          <w:lang w:val="en-US" w:bidi="en-US"/>
        </w:rPr>
        <w:fldChar w:fldCharType="begin" w:fldLock="1"/>
      </w:r>
      <w:r w:rsidRPr="00813C0B">
        <w:rPr>
          <w:bCs/>
          <w:lang w:val="en-US" w:bidi="en-US"/>
        </w:rPr>
        <w:instrText>ADDIN CSL_CITATION {"citationItems":[{"id":"ITEM-1","itemData":{"abstract":"Structural and electronic properties of hybrid perovskites for high-efficiency thin-film photovoltaics from first-principles APL Materials 1, 042111 (2013); 10.1063/1.4824147 Qualifying composition dependent p and n self-doping in CH 3 NH 3 PbI 3 Applied Physics Letters 105, 163508 (2014); 10.1063/1.4899051 A 2-terminal perovskite/silicon multijunction solar cell enabled by a silicon tunnel junction Applied Physics Letters 106, 121105 (2015); 10.1063/1.4914179 Molecular ferroelectric contributions to anomalous hysteresis in hybrid perovskite solar cells APL Materials 2, 081506 (2014); 10.1063/1.4890246 Thin-film solar cells based on Methylammonium triiodideplumbate (CH 3 NH 3 PbI 3) halide perovskites have recently shown remarkable performance. First-principle calculations show that CH 3 NH 3 PbI 3 has unusual defect physics: (i) Different from common p-type thin-film solar cell absorbers, it exhibits flexible conductivity from good p-type, intrinsic to good n-type depending on the growth conditions; (ii) Dominant intrinsic defects create only shallow levels, which partially explain the long electron-hole diffusion length and high open-circuit voltage in solar cell. The unusual defect properties can be attributed to the strong Pb lone-pair s orbital and I p orbital antibonding coupling and the high ionicity of CH 3 NH 3 PbI 3 . V C 2014 AIP Publishing LLC. [http://dx.doi.org/10.1063/1.4864778] Methylammonium triiodideplumbate (CH 3 NH 3 PbI 3)-based organometal halide perovskite has recently emerged as a promising solar photovoltaic absorber. 1–9 Recent reports have shown electron-hole diffusion lengths 8,9 as long as 1 micro-meter in low-temperature solution processed halide perov-skites. A planar heterojunction solar cell with a about 330 nm thick CH 3 NH 3 PbI 3Àx Cl x absorber layer has exhibited an energy conversion efficiency of over 15%. 5 More interest-ingly, the cell, which has the same configuration as other thin film solar cells, has shown a very high open circuit voltage (V oc), more than 1.0 V. Considering a bandgap (E g) of 1.5 eV, the V oc /E g ratio is comparable to that of the best single-crystal GaAs thin film solar cell and outperforms that of the high efficiency polycrystalline thin-film solar cells such as Cu(In,Ga)Se 2 and CdTe. The properties of defects, especially point defects, in absorbers play a critical role on determining the electron-hole diffusion length and V oc of a solar cell. Defects that create deep levels usually act…","author":[{"dropping-particle":"","family":"Yin","given":"Wan-Jian","non-dropping-particle":"","parse-names":false,"suffix":""},{"dropping-particle":"","family":"Shi","given":"Tingting","non-dropping-particle":"","parse-names":false,"suffix":""},{"dropping-particle":"","family":"Yan","given":"Yanfa","non-dropping-particle":"","parse-names":false,"suffix":""}],"container-title":"Citation: Appl. Phys. Lett. Applied Physics Letters Junction Solar Cells Journal of Applied Physics","id":"ITEM-1","issue":"32","issued":{"date-parts":[["2014"]]},"page":"221104-510","title":"Unusual defect physics in CH 3 NH 3 PbI 3 perovskite solar cell absorber","type":"article-journal","volume":"104"},"uris":["http://www.mendeley.com/documents/?uuid=07e90d23-c90f-4047-aeb1-76a7766dc658"]}],"mendeley":{"formattedCitation":"&lt;sup&gt;13&lt;/sup&gt;","plainTextFormattedCitation":"13","previouslyFormattedCitation":"&lt;sup&gt;13&lt;/sup&gt;"},"properties":{"noteIndex":0},"schema":"https://github.com/citation-style-language/schema/raw/master/csl-citation.json"}</w:instrText>
      </w:r>
      <w:r w:rsidRPr="00813C0B">
        <w:rPr>
          <w:bCs/>
          <w:lang w:val="en-US" w:bidi="en-US"/>
        </w:rPr>
        <w:fldChar w:fldCharType="separate"/>
      </w:r>
      <w:r w:rsidRPr="00813C0B">
        <w:rPr>
          <w:bCs/>
          <w:vertAlign w:val="superscript"/>
          <w:lang w:val="en-US" w:bidi="en-US"/>
        </w:rPr>
        <w:t>13</w:t>
      </w:r>
      <w:r w:rsidRPr="00813C0B">
        <w:rPr>
          <w:bCs/>
          <w:lang w:val="en-US"/>
        </w:rPr>
        <w:fldChar w:fldCharType="end"/>
      </w:r>
      <w:r w:rsidR="00F03D02">
        <w:rPr>
          <w:bCs/>
          <w:vertAlign w:val="superscript"/>
          <w:lang w:val="en-US"/>
        </w:rPr>
        <w:t>]</w:t>
      </w:r>
      <w:r w:rsidRPr="00813C0B">
        <w:rPr>
          <w:bCs/>
          <w:lang w:val="en-US" w:bidi="en-US"/>
        </w:rPr>
        <w:t xml:space="preserve"> Similarly, the chemical instability of ZnO ETL with the perovskite layer can adversely impact the performance of PSCs.</w:t>
      </w:r>
      <w:r w:rsidR="00F03D02">
        <w:rPr>
          <w:bCs/>
          <w:vertAlign w:val="superscript"/>
          <w:lang w:val="en-US" w:bidi="en-US"/>
        </w:rPr>
        <w:t>[</w:t>
      </w:r>
      <w:r w:rsidRPr="00813C0B">
        <w:rPr>
          <w:bCs/>
          <w:lang w:val="en-US" w:bidi="en-US"/>
        </w:rPr>
        <w:fldChar w:fldCharType="begin" w:fldLock="1"/>
      </w:r>
      <w:r w:rsidRPr="00813C0B">
        <w:rPr>
          <w:bCs/>
          <w:lang w:val="en-US" w:bidi="en-US"/>
        </w:rPr>
        <w:instrText>ADDIN CSL_CITATION {"citationItems":[{"id":"ITEM-1","itemData":{"DOI":"10.1016/j.solener.2020.04.074","ISSN":"0038092X","abstract":"n-Type zinc oxide (ZnO) has high electron mobility, good light transmittance, and a suitable work function and is considered to be a suitable electron transport material in perovskite solar cells (PSCs). However, the chemical compatibility between ZnO and perovskites is poor, making it difficult to prepare highly efficient and stable PSCs by a one-step spin coating method. Here, the ZnO surface is modified with three amino compounds, butylamine (BA), isobutylamine (IBA) and 2-amino-2-methyl-1-propanol (AMP). Three amino compounds can react with 3D perovskite to form a thin and more stable perovskite with a 2D structure, which can improve the stability of ZnO-based PSCs fabricated by one-step method. Interestingly, the conductivity of amine-modified ZnO is also improved due to the presence of amino (NH2) and hydroxyl (OH) groups which can induce the dipole polarization. The modification of amino compounds on the surface of ZnO can affect the hydrophilicity of ZnO surface that is related to the crystallization of perovskite film. Devices with IBA modification exhibit improved stability, and the power conversion efficiency (PCE) can reach 18.84%. Therefore, we provide a new strategy to improve the surface of the ZnO electron transport layer for high-performance PSCs fabricated by a one-step method.","author":[{"dropping-particle":"","family":"Yang","given":"Zilu","non-dropping-particle":"","parse-names":false,"suffix":""},{"dropping-particle":"","family":"Fan","given":"Qin","non-dropping-particle":"","parse-names":false,"suffix":""},{"dropping-particle":"","family":"Shen","given":"Tao","non-dropping-particle":"","parse-names":false,"suffix":""},{"dropping-particle":"","family":"Jin","given":"Junjun","non-dropping-particle":"","parse-names":false,"suffix":""},{"dropping-particle":"","family":"Deng","given":"Wenqiu","non-dropping-particle":"","parse-names":false,"suffix":""},{"dropping-particle":"","family":"Xin","given":"Juan","non-dropping-particle":"","parse-names":false,"suffix":""},{"dropping-particle":"","family":"Huang","given":"Xiulin","non-dropping-particle":"","parse-names":false,"suffix":""},{"dropping-particle":"","family":"Wang","given":"Xianbao","non-dropping-particle":"","parse-names":false,"suffix":""},{"dropping-particle":"","family":"Li","given":"Jinhua","non-dropping-particle":"","parse-names":false,"suffix":""}],"container-title":"Solar Energy","id":"ITEM-1","issue":"February","issued":{"date-parts":[["2020"]]},"page":"223-230","publisher":"Elsevier","title":"Amine-passivated ZnO electron transport layer for thermal stability-enhanced perovskite solar cells","type":"article-journal","volume":"204"},"uris":["http://www.mendeley.com/documents/?uuid=32c175e8-c8df-4d44-957d-410a2cfe188f"]}],"mendeley":{"formattedCitation":"&lt;sup&gt;14&lt;/sup&gt;","plainTextFormattedCitation":"14","previouslyFormattedCitation":"&lt;sup&gt;14&lt;/sup&gt;"},"properties":{"noteIndex":0},"schema":"https://github.com/citation-style-language/schema/raw/master/csl-citation.json"}</w:instrText>
      </w:r>
      <w:r w:rsidRPr="00813C0B">
        <w:rPr>
          <w:bCs/>
          <w:lang w:val="en-US" w:bidi="en-US"/>
        </w:rPr>
        <w:fldChar w:fldCharType="separate"/>
      </w:r>
      <w:r w:rsidRPr="00813C0B">
        <w:rPr>
          <w:bCs/>
          <w:vertAlign w:val="superscript"/>
          <w:lang w:val="en-US" w:bidi="en-US"/>
        </w:rPr>
        <w:t>14</w:t>
      </w:r>
      <w:r w:rsidRPr="00813C0B">
        <w:rPr>
          <w:bCs/>
          <w:lang w:val="en-US"/>
        </w:rPr>
        <w:fldChar w:fldCharType="end"/>
      </w:r>
      <w:r w:rsidR="00F03D02">
        <w:rPr>
          <w:bCs/>
          <w:vertAlign w:val="superscript"/>
          <w:lang w:val="en-US"/>
        </w:rPr>
        <w:t>]</w:t>
      </w:r>
    </w:p>
    <w:p w14:paraId="0DA4B90C" w14:textId="591DCDAD" w:rsidR="00813C0B" w:rsidRPr="00F03D02" w:rsidRDefault="00813C0B" w:rsidP="00B453F9">
      <w:pPr>
        <w:spacing w:line="360" w:lineRule="auto"/>
        <w:ind w:firstLine="708"/>
        <w:rPr>
          <w:bCs/>
          <w:vertAlign w:val="superscript"/>
          <w:lang w:val="en-US"/>
        </w:rPr>
      </w:pPr>
      <w:r w:rsidRPr="00813C0B">
        <w:rPr>
          <w:bCs/>
          <w:lang w:val="en-US" w:bidi="en-US"/>
        </w:rPr>
        <w:t>Compared to the prevalent binary oxides, ternary oxides provide an increased level of flexibility, making it possible to fine-tune various aspects of ternary metal oxide materials through simple adjustments in their chemical composition.</w:t>
      </w:r>
      <w:r w:rsidR="00F03D02">
        <w:rPr>
          <w:bCs/>
          <w:vertAlign w:val="superscript"/>
          <w:lang w:val="en-US" w:bidi="en-US"/>
        </w:rPr>
        <w:t>[</w:t>
      </w:r>
      <w:r w:rsidRPr="00813C0B">
        <w:rPr>
          <w:bCs/>
          <w:lang w:val="en-US" w:bidi="en-US"/>
        </w:rPr>
        <w:fldChar w:fldCharType="begin" w:fldLock="1"/>
      </w:r>
      <w:r w:rsidRPr="00813C0B">
        <w:rPr>
          <w:bCs/>
          <w:lang w:val="en-US" w:bidi="en-US"/>
        </w:rPr>
        <w:instrText>ADDIN CSL_CITATION {"citationItems":[{"id":"ITEM-1","itemData":{"DOI":"10.1007/s12598-020-01676-y","ISSN":"18677185","abstract":"Abstract: As a promising photovoltaic technology, perovskite solar cells (pero-SCs) have developed rapidly over the past few years and the highest power conversion efficiency is beyond 25%. Nowadays, the planar structure is universally popular in pero-SCs due to the simple processing technology and low-temperature preparation. Electron transport layer (ETL) is verified to play a vital role in the device performance of planar pero-SCs. Particularly, the metal oxide (MO) ETL with low-cost, superb versatility, and excellent optoelectronic properties has been widely studied. This review mainly focuses on recent developments in the use of low-temperature-processed MO ETLs for planar pero-SCs. The optical and electronic properties of widely used MO materials of TiO2, ZnO, and SnO2, as well as the optimizations of these MO ETLs are briefly introduced. The commonly used methods for depositing MO ETLs are also discussed. Then, the applications of different MO ETLs on pero-SCs are reviewed. Finally, the challenge and future research of MO-based ETLs toward practical application of efficient planar pero-SCs are proposed. Graphical abstract: [Figure not available: see fulltext.]","author":[{"dropping-particle":"","family":"Song","given":"Jia Xing","non-dropping-particle":"","parse-names":false,"suffix":""},{"dropping-particle":"","family":"Yin","given":"Xin Xing","non-dropping-particle":"","parse-names":false,"suffix":""},{"dropping-particle":"","family":"Li","given":"Zai Fang","non-dropping-particle":"","parse-names":false,"suffix":""},{"dropping-particle":"","family":"Li","given":"Yao Wen","non-dropping-particle":"","parse-names":false,"suffix":""}],"container-title":"Rare Metals","id":"ITEM-1","issue":"10","issued":{"date-parts":[["2021"]]},"page":"2730-2746","publisher":"Nonferrous Metals Society of China","title":"Low-temperature-processed metal oxide electron transport layers for efficient planar perovskite solar cells","type":"article-journal","volume":"40"},"uris":["http://www.mendeley.com/documents/?uuid=98bee53d-0914-441d-9aa0-44cad9606ec3"]}],"mendeley":{"formattedCitation":"&lt;sup&gt;15&lt;/sup&gt;","plainTextFormattedCitation":"15","previouslyFormattedCitation":"&lt;sup&gt;15&lt;/sup&gt;"},"properties":{"noteIndex":0},"schema":"https://github.com/citation-style-language/schema/raw/master/csl-citation.json"}</w:instrText>
      </w:r>
      <w:r w:rsidRPr="00813C0B">
        <w:rPr>
          <w:bCs/>
          <w:lang w:val="en-US" w:bidi="en-US"/>
        </w:rPr>
        <w:fldChar w:fldCharType="separate"/>
      </w:r>
      <w:r w:rsidRPr="00813C0B">
        <w:rPr>
          <w:bCs/>
          <w:vertAlign w:val="superscript"/>
          <w:lang w:val="en-US" w:bidi="en-US"/>
        </w:rPr>
        <w:t>15</w:t>
      </w:r>
      <w:r w:rsidRPr="00813C0B">
        <w:rPr>
          <w:bCs/>
          <w:lang w:val="en-US"/>
        </w:rPr>
        <w:fldChar w:fldCharType="end"/>
      </w:r>
      <w:r w:rsidR="00F03D02">
        <w:rPr>
          <w:bCs/>
          <w:vertAlign w:val="superscript"/>
          <w:lang w:val="en-US"/>
        </w:rPr>
        <w:t>]</w:t>
      </w:r>
      <w:r w:rsidRPr="00813C0B">
        <w:rPr>
          <w:bCs/>
          <w:lang w:val="en-US" w:bidi="en-US"/>
        </w:rPr>
        <w:t xml:space="preserve"> Ternary metal oxides have recently attracted a lot of attention as effective ETLs. For instance, Ye et al. incorporated NaTaO</w:t>
      </w:r>
      <w:r w:rsidRPr="00813C0B">
        <w:rPr>
          <w:bCs/>
          <w:vertAlign w:val="subscript"/>
          <w:lang w:val="en-US" w:bidi="en-US"/>
        </w:rPr>
        <w:t>3</w:t>
      </w:r>
      <w:r w:rsidRPr="00813C0B">
        <w:rPr>
          <w:bCs/>
          <w:lang w:val="en-US" w:bidi="en-US"/>
        </w:rPr>
        <w:t xml:space="preserve"> ternary metal oxide ETL in PSCs and reported an efficiency of 21.07% with improved device stability.</w:t>
      </w:r>
      <w:r w:rsidR="00F03D02">
        <w:rPr>
          <w:bCs/>
          <w:vertAlign w:val="superscript"/>
          <w:lang w:val="en-US" w:bidi="en-US"/>
        </w:rPr>
        <w:t>[</w:t>
      </w:r>
      <w:r w:rsidRPr="00813C0B">
        <w:rPr>
          <w:bCs/>
          <w:lang w:val="en-US" w:bidi="en-US"/>
        </w:rPr>
        <w:fldChar w:fldCharType="begin" w:fldLock="1"/>
      </w:r>
      <w:r w:rsidRPr="00813C0B">
        <w:rPr>
          <w:bCs/>
          <w:lang w:val="en-US" w:bidi="en-US"/>
        </w:rPr>
        <w:instrText>ADDIN CSL_CITATION {"citationItems":[{"id":"ITEM-1","itemData":{"DOI":"10.1021/acsami.0c04934","ISSN":"19448252","PMID":"32319284","abstract":"Organic-inorganic halide perovskite solar cells (PSCs) still suffer from stability issues which are caused by possible erosions from moisture, ultraviolet (UV) light, heat, and so forth. An electron-transporting layer (ETL), that is, TiO2, is a key component for state-of-the-art PSCs. However, UV-caused desorption of O2- in TiO2 would accelerate the degradation of PSCs. Herein, we explored perovskite oxide, NaTaO3, for the first time as an alternative ETL in PSCs. NaTaO3 as an ETL can effectively avoid the damage from UV irradiation, inhibit the degradation of the perovskite layer, and improve the overall stability of the PSC. PSCs fabricated with NaTaO3 yielded a power conversion efficiency (PCE) of 21.07% with a retention of more than 80% of this initial PCE after 240 min UV irradiation in air while the reference device with a PCE of 20.16% can only retain about 53% of its initial PCE after the same testing condition. The developed stable perovskite oxide material of NaTaO3 provides the diversification of electron-selective contact for highly efficient and stable PSCs.","author":[{"dropping-particle":"","family":"Ye","given":"Qing Qing","non-dropping-particle":"","parse-names":false,"suffix":""},{"dropping-particle":"","family":"Li","given":"Meng","non-dropping-particle":"","parse-names":false,"suffix":""},{"dropping-particle":"","family":"Shi","given":"Xiao Bo","non-dropping-particle":"","parse-names":false,"suffix":""},{"dropping-particle":"","family":"Zhuo","given":"Ming Peng","non-dropping-particle":"","parse-names":false,"suffix":""},{"dropping-particle":"","family":"Wang","given":"Kai Li","non-dropping-particle":"","parse-names":false,"suffix":""},{"dropping-particle":"","family":"Igbari","given":"Femi","non-dropping-particle":"","parse-names":false,"suffix":""},{"dropping-particle":"","family":"Wang","given":"Zhao Kui","non-dropping-particle":"","parse-names":false,"suffix":""},{"dropping-particle":"","family":"Liao","given":"Liang Sheng","non-dropping-particle":"","parse-names":false,"suffix":""}],"container-title":"ACS Applied Materials and Interfaces","id":"ITEM-1","issue":"19","issued":{"date-parts":[["2020"]]},"page":"21772-21778","title":"UV-Stable and Highly Efficient Perovskite Solar Cells by Employing Wide Band gap NaTaO3 as an Electron-Transporting Layer","type":"article-journal","volume":"12"},"uris":["http://www.mendeley.com/documents/?uuid=79008aab-0b32-4aa6-8909-d856e5454b36"]}],"mendeley":{"formattedCitation":"&lt;sup&gt;16&lt;/sup&gt;","plainTextFormattedCitation":"16","previouslyFormattedCitation":"&lt;sup&gt;16&lt;/sup&gt;"},"properties":{"noteIndex":0},"schema":"https://github.com/citation-style-language/schema/raw/master/csl-citation.json"}</w:instrText>
      </w:r>
      <w:r w:rsidRPr="00813C0B">
        <w:rPr>
          <w:bCs/>
          <w:lang w:val="en-US" w:bidi="en-US"/>
        </w:rPr>
        <w:fldChar w:fldCharType="separate"/>
      </w:r>
      <w:r w:rsidRPr="00813C0B">
        <w:rPr>
          <w:bCs/>
          <w:vertAlign w:val="superscript"/>
          <w:lang w:val="en-US" w:bidi="en-US"/>
        </w:rPr>
        <w:t>16</w:t>
      </w:r>
      <w:r w:rsidRPr="00813C0B">
        <w:rPr>
          <w:bCs/>
          <w:lang w:val="en-US"/>
        </w:rPr>
        <w:fldChar w:fldCharType="end"/>
      </w:r>
      <w:r w:rsidR="00F03D02">
        <w:rPr>
          <w:bCs/>
          <w:vertAlign w:val="superscript"/>
          <w:lang w:val="en-US"/>
        </w:rPr>
        <w:t>]</w:t>
      </w:r>
      <w:r w:rsidRPr="00813C0B">
        <w:rPr>
          <w:bCs/>
          <w:lang w:val="en-US" w:bidi="en-US"/>
        </w:rPr>
        <w:t xml:space="preserve"> Li and his team explored the potential of titanium-iron-based ternary metal oxides as alternative ETLs, discovering a decrease in surface recombination and favorable charge collection characteristics; interestingly, the perovskite device utilizing Ti</w:t>
      </w:r>
      <w:r w:rsidRPr="00813C0B">
        <w:rPr>
          <w:bCs/>
          <w:vertAlign w:val="subscript"/>
          <w:lang w:val="en-US" w:bidi="en-US"/>
        </w:rPr>
        <w:t>0.5</w:t>
      </w:r>
      <w:r w:rsidRPr="00813C0B">
        <w:rPr>
          <w:bCs/>
          <w:lang w:val="en-US" w:bidi="en-US"/>
        </w:rPr>
        <w:t>Fe</w:t>
      </w:r>
      <w:r w:rsidRPr="00813C0B">
        <w:rPr>
          <w:bCs/>
          <w:vertAlign w:val="subscript"/>
          <w:lang w:val="en-US" w:bidi="en-US"/>
        </w:rPr>
        <w:t>0.5</w:t>
      </w:r>
      <w:r w:rsidRPr="00813C0B">
        <w:rPr>
          <w:bCs/>
          <w:lang w:val="en-US" w:bidi="en-US"/>
        </w:rPr>
        <w:t>O</w:t>
      </w:r>
      <w:r w:rsidRPr="00813C0B">
        <w:rPr>
          <w:bCs/>
          <w:vertAlign w:val="subscript"/>
          <w:lang w:val="en-US" w:bidi="en-US"/>
        </w:rPr>
        <w:t>x</w:t>
      </w:r>
      <w:r w:rsidRPr="00813C0B">
        <w:rPr>
          <w:bCs/>
          <w:lang w:val="en-US" w:bidi="en-US"/>
        </w:rPr>
        <w:t xml:space="preserve"> attained the maximum PCE of 14.7%.</w:t>
      </w:r>
      <w:r w:rsidR="00F03D02">
        <w:rPr>
          <w:bCs/>
          <w:vertAlign w:val="superscript"/>
          <w:lang w:val="en-US" w:bidi="en-US"/>
        </w:rPr>
        <w:t>[</w:t>
      </w:r>
      <w:r w:rsidRPr="00813C0B">
        <w:rPr>
          <w:bCs/>
          <w:lang w:val="en-US" w:bidi="en-US"/>
        </w:rPr>
        <w:fldChar w:fldCharType="begin" w:fldLock="1"/>
      </w:r>
      <w:r w:rsidRPr="00813C0B">
        <w:rPr>
          <w:bCs/>
          <w:lang w:val="en-US" w:bidi="en-US"/>
        </w:rPr>
        <w:instrText>ADDIN CSL_CITATION {"citationItems":[{"id":"ITEM-1","itemData":{"DOI":"10.1021/acsami.7b08536","ISSN":"19448252","PMID":"28920436","abstract":"Electron-extraction layer (EEL) plays a critical role in determining the charge extraction and the power conversion efficiencies of the organometal-halide perovskite solar cells (PSCs). In this work, Ti-Fe-O ternary oxides were first developed to work as an efficient EEL in planar PSC. Compared with the widely used TiOx and the pure FeOx, the ternary composites show superior properties in multiple aspects including the excellent stability of the precursor solution, good coverage on the substrates, outstanding electrical properties, and suitable energy levels. By varying the Fe content from 0 to 100% in the Ti-Fe-O composites, the conductivity of the resultant compact layer was markedly improved, confirmed by consistent results from the conductive atomic force microscopy and the linear sweep voltammetry measurements. Meanwhile, the compositional engineering tunes the energy level alignment of the Ti-Fe-O EEL/CH3NH3PbI3 interface to a region that is favorable for obtaining excellent charge-extraction property. The combinational advantages of the Ti-Fe-O composites significantly improved the photovoltaic performance of the as-prepared solar cells. An increase of over 20% in the short-circuit current (JSC) density has been achieved due to a modified EEL conductivity and energy alignment with the perovskite layer. The reduction in the surface recombination and enhancement of the charge collection efficiency also result in about 15% increase in the fill factor. Notably, the device also showed remarkably alleviated hysteresis behavior, revealing a prominently inhibited surface recombination.","author":[{"dropping-particle":"","family":"Li","given":"Xin","non-dropping-particle":"","parse-names":false,"suffix":""},{"dropping-particle":"","family":"Hao","given":"Feng","non-dropping-particle":"","parse-names":false,"suffix":""},{"dropping-particle":"","family":"Zhao","given":"Xingyue","non-dropping-particle":"","parse-names":false,"suffix":""},{"dropping-particle":"","family":"Yin","given":"Xuewen","non-dropping-particle":"","parse-names":false,"suffix":""},{"dropping-particle":"","family":"Yao","given":"Zhibo","non-dropping-particle":"","parse-names":false,"suffix":""},{"dropping-particle":"","family":"Guo","given":"Ying","non-dropping-particle":"","parse-names":false,"suffix":""},{"dropping-particle":"","family":"Shen","given":"Heping","non-dropping-particle":"","parse-names":false,"suffix":""},{"dropping-particle":"","family":"Lin","given":"Hong","non-dropping-particle":"","parse-names":false,"suffix":""}],"container-title":"ACS Applied Materials and Interfaces","id":"ITEM-1","issue":"40","issued":{"date-parts":[["2017"]]},"page":"34833-34843","title":"Rational Design of Solution-Processed Ti-Fe-O Ternary Oxides for Efficient Planar CH3NH3PbI3 Perovskite Solar Cells with Suppressed Hysteresis","type":"article-journal","volume":"9"},"uris":["http://www.mendeley.com/documents/?uuid=57f7d5e8-e1ea-4f73-849a-a31356e04199"]}],"mendeley":{"formattedCitation":"&lt;sup&gt;17&lt;/sup&gt;","plainTextFormattedCitation":"17","previouslyFormattedCitation":"&lt;sup&gt;17&lt;/sup&gt;"},"properties":{"noteIndex":0},"schema":"https://github.com/citation-style-language/schema/raw/master/csl-citation.json"}</w:instrText>
      </w:r>
      <w:r w:rsidRPr="00813C0B">
        <w:rPr>
          <w:bCs/>
          <w:lang w:val="en-US" w:bidi="en-US"/>
        </w:rPr>
        <w:fldChar w:fldCharType="separate"/>
      </w:r>
      <w:r w:rsidRPr="00813C0B">
        <w:rPr>
          <w:bCs/>
          <w:vertAlign w:val="superscript"/>
          <w:lang w:val="en-US" w:bidi="en-US"/>
        </w:rPr>
        <w:t>17</w:t>
      </w:r>
      <w:r w:rsidRPr="00813C0B">
        <w:rPr>
          <w:bCs/>
          <w:lang w:val="en-US"/>
        </w:rPr>
        <w:fldChar w:fldCharType="end"/>
      </w:r>
      <w:r w:rsidR="00F03D02">
        <w:rPr>
          <w:bCs/>
          <w:vertAlign w:val="superscript"/>
          <w:lang w:val="en-US"/>
        </w:rPr>
        <w:t>]</w:t>
      </w:r>
      <w:r w:rsidRPr="00813C0B">
        <w:rPr>
          <w:bCs/>
          <w:lang w:val="en-US" w:bidi="en-US"/>
        </w:rPr>
        <w:t xml:space="preserve"> Similarly, Wei’s group reported the PCE of 19.8% when ZnTiO</w:t>
      </w:r>
      <w:r w:rsidRPr="00813C0B">
        <w:rPr>
          <w:bCs/>
          <w:vertAlign w:val="subscript"/>
          <w:lang w:val="en-US" w:bidi="en-US"/>
        </w:rPr>
        <w:t>3</w:t>
      </w:r>
      <w:r w:rsidRPr="00813C0B">
        <w:rPr>
          <w:bCs/>
          <w:lang w:val="en-US" w:bidi="en-US"/>
        </w:rPr>
        <w:t xml:space="preserve"> ternary metal oxide ETL was incorporated in PSCs.</w:t>
      </w:r>
      <w:r w:rsidR="00F03D02">
        <w:rPr>
          <w:bCs/>
          <w:vertAlign w:val="superscript"/>
          <w:lang w:val="en-US" w:bidi="en-US"/>
        </w:rPr>
        <w:t>[</w:t>
      </w:r>
      <w:r w:rsidRPr="00813C0B">
        <w:rPr>
          <w:bCs/>
          <w:lang w:val="en-US" w:bidi="en-US"/>
        </w:rPr>
        <w:fldChar w:fldCharType="begin" w:fldLock="1"/>
      </w:r>
      <w:r w:rsidRPr="00813C0B">
        <w:rPr>
          <w:bCs/>
          <w:lang w:val="en-US" w:bidi="en-US"/>
        </w:rPr>
        <w:instrText>ADDIN CSL_CITATION {"citationItems":[{"id":"ITEM-1","itemData":{"DOI":"10.1002/aenm.201901620","ISSN":"16146840","abstract":"Although planar-structured perovskite solar cells (PSCs) have power conversion efficiencies exceeding 24%, the poor photostability, especially with ultraviolet irradiance (UV) severely limits commercial application. The most commonly-used TiO2 electron selective layer has a strong photocatalytic effect on perovskite/TiO2 interface when TiO2 is excited by UV light. Here a UV-inert ZnTiO3 is reported as the electron selective layer in planar PSCs. ZnTiO3 is a perovskite-structured semiconductor with excellent chemical stability and poor photocatalysis. Solar cells are fabricated with a structure of indium doped tin oxide (ITO)/ZnTiO3/Cs0.05FA0.81MA0.14PbI2.55Br0.45/Sprio-MeOTAD/Au. The champion device exhibits a stabilized power conversion efficiency of 19.8% with improved photostability. The device holds 90% of its initial efficiency after 100 h of UV soaking (365 nm, 8 mW cm−2), compared with 55% for TiO2-based devices. This work provides a new class of electron selective materials with excellent UV stability in perovskite solar cell applications.","author":[{"dropping-particle":"","family":"Wei","given":"Jing","non-dropping-particle":"","parse-names":false,"suffix":""},{"dropping-particle":"","family":"Guo","given":"Fengwan","non-dropping-particle":"","parse-names":false,"suffix":""},{"dropping-particle":"","family":"Liu","given":"Bing","non-dropping-particle":"","parse-names":false,"suffix":""},{"dropping-particle":"","family":"Sun","given":"Xiangyu","non-dropping-particle":"","parse-names":false,"suffix":""},{"dropping-particle":"","family":"Wang","given":"Xi","non-dropping-particle":"","parse-names":false,"suffix":""},{"dropping-particle":"","family":"Yang","given":"Zijiang","non-dropping-particle":"","parse-names":false,"suffix":""},{"dropping-particle":"","family":"Xu","given":"Kun","non-dropping-particle":"","parse-names":false,"suffix":""},{"dropping-particle":"","family":"Lei","given":"Ming","non-dropping-particle":"","parse-names":false,"suffix":""},{"dropping-particle":"","family":"Zhao","given":"Yicheng","non-dropping-particle":"","parse-names":false,"suffix":""},{"dropping-particle":"","family":"Xu","given":"Dongsheng","non-dropping-particle":"","parse-names":false,"suffix":""}],"container-title":"Advanced Energy Materials","id":"ITEM-1","issue":"40","issued":{"date-parts":[["2019"]]},"page":"1-7","title":"UV-Inert ZnTiO3 Electron Selective Layer for Photostable Perovskite Solar Cells","type":"article-journal","volume":"9"},"uris":["http://www.mendeley.com/documents/?uuid=d57c872a-88a3-4d49-a4d3-404265f8d7cc"]}],"mendeley":{"formattedCitation":"&lt;sup&gt;18&lt;/sup&gt;","plainTextFormattedCitation":"18","previouslyFormattedCitation":"&lt;sup&gt;18&lt;/sup&gt;"},"properties":{"noteIndex":0},"schema":"https://github.com/citation-style-language/schema/raw/master/csl-citation.json"}</w:instrText>
      </w:r>
      <w:r w:rsidRPr="00813C0B">
        <w:rPr>
          <w:bCs/>
          <w:lang w:val="en-US" w:bidi="en-US"/>
        </w:rPr>
        <w:fldChar w:fldCharType="separate"/>
      </w:r>
      <w:r w:rsidRPr="00813C0B">
        <w:rPr>
          <w:bCs/>
          <w:vertAlign w:val="superscript"/>
          <w:lang w:val="en-US" w:bidi="en-US"/>
        </w:rPr>
        <w:t>18</w:t>
      </w:r>
      <w:r w:rsidRPr="00813C0B">
        <w:rPr>
          <w:bCs/>
          <w:lang w:val="en-US"/>
        </w:rPr>
        <w:fldChar w:fldCharType="end"/>
      </w:r>
      <w:r w:rsidR="00F03D02">
        <w:rPr>
          <w:bCs/>
          <w:vertAlign w:val="superscript"/>
          <w:lang w:val="en-US"/>
        </w:rPr>
        <w:t>]</w:t>
      </w:r>
      <w:r w:rsidRPr="00813C0B">
        <w:rPr>
          <w:bCs/>
          <w:lang w:val="en-US" w:bidi="en-US"/>
        </w:rPr>
        <w:t xml:space="preserve"> Among a range of ternary metal oxides, zinc-tin-based ETLs demonstrate significant potential in PSC applications. Zinc-tin-based ternary oxides exhibit a broader band gap, high electron mobility, and a low refractive index with high chemical stability. For example, Oh et al. reported an improved electron diffusion and superior charge collection with Zn</w:t>
      </w:r>
      <w:r w:rsidRPr="00813C0B">
        <w:rPr>
          <w:bCs/>
          <w:vertAlign w:val="subscript"/>
          <w:lang w:val="en-US" w:bidi="en-US"/>
        </w:rPr>
        <w:t>2</w:t>
      </w:r>
      <w:r w:rsidRPr="00813C0B">
        <w:rPr>
          <w:bCs/>
          <w:lang w:val="en-US" w:bidi="en-US"/>
        </w:rPr>
        <w:t>SnO</w:t>
      </w:r>
      <w:r w:rsidRPr="00813C0B">
        <w:rPr>
          <w:bCs/>
          <w:vertAlign w:val="subscript"/>
          <w:lang w:val="en-US" w:bidi="en-US"/>
        </w:rPr>
        <w:t xml:space="preserve">4 </w:t>
      </w:r>
      <w:r w:rsidRPr="00813C0B">
        <w:rPr>
          <w:bCs/>
          <w:lang w:val="en-US" w:bidi="en-US"/>
        </w:rPr>
        <w:t>ETL in PSCs as compared to the conventional TiO</w:t>
      </w:r>
      <w:r w:rsidRPr="00813C0B">
        <w:rPr>
          <w:bCs/>
          <w:vertAlign w:val="subscript"/>
          <w:lang w:val="en-US" w:bidi="en-US"/>
        </w:rPr>
        <w:t>2</w:t>
      </w:r>
      <w:r w:rsidRPr="00813C0B">
        <w:rPr>
          <w:bCs/>
          <w:lang w:val="en-US" w:bidi="en-US"/>
        </w:rPr>
        <w:t xml:space="preserve"> with similar device performance.</w:t>
      </w:r>
      <w:r w:rsidR="00F03D02">
        <w:rPr>
          <w:bCs/>
          <w:vertAlign w:val="superscript"/>
          <w:lang w:val="en-US" w:bidi="en-US"/>
        </w:rPr>
        <w:t>[</w:t>
      </w:r>
      <w:r w:rsidRPr="00813C0B">
        <w:rPr>
          <w:bCs/>
          <w:lang w:val="en-US" w:bidi="en-US"/>
        </w:rPr>
        <w:fldChar w:fldCharType="begin" w:fldLock="1"/>
      </w:r>
      <w:r w:rsidRPr="00813C0B">
        <w:rPr>
          <w:bCs/>
          <w:lang w:val="en-US" w:bidi="en-US"/>
        </w:rPr>
        <w:instrText>ADDIN CSL_CITATION {"citationItems":[{"id":"ITEM-1","itemData":{"DOI":"10.1021/jp509183k","ISSN":"19327455","abstract":"We report a new ternary Zn2SnO4 (ZSO) electron-transporting electrode of a CH3NH3PbI3 perovskite solar cell as an alternative to the conventional TiO2 electrode. The ZSO-based perovskite solar cells have been prepared following a conventional procedure known as a sequential (or two-step) process with ZSO compact/mesoscopic layers instead of the conventional TiO2 counterparts, and their solar cell properties have been investigated as a function of the thickness of either the ZSO compact layer or the ZSO mesoscopic layer. The presence of the ZSO compact layer has a negligible influence on the transmittance of the incident light regardless of its thickness, whereas the thickest compact layer blocks the back-electron transfer most efficiently. The open-circuit voltage and fill factor increase with the increasing thickness of the mesoscopic ZSO layer, whereas the short-circuit current density decreases with the increasing thickness except for the thinnest one (</w:instrText>
      </w:r>
      <w:r w:rsidRPr="00813C0B">
        <w:rPr>
          <w:rFonts w:ascii="Cambria Math" w:hAnsi="Cambria Math" w:cs="Cambria Math"/>
          <w:bCs/>
          <w:lang w:val="en-US" w:bidi="en-US"/>
        </w:rPr>
        <w:instrText>∼</w:instrText>
      </w:r>
      <w:r w:rsidRPr="00813C0B">
        <w:rPr>
          <w:bCs/>
          <w:lang w:val="en-US" w:bidi="en-US"/>
        </w:rPr>
        <w:instrText>100 nm). As a result, the device with a 300 nm-thick mesoscopic ZSO layer shows the highest conversion efficiency of 7%. In addition, time-resolved and frequency-resolved measurements reveal that the ZSO-based perovskite solar cell exhibits faster electron transport (</w:instrText>
      </w:r>
      <w:r w:rsidRPr="00813C0B">
        <w:rPr>
          <w:rFonts w:ascii="Cambria Math" w:hAnsi="Cambria Math" w:cs="Cambria Math"/>
          <w:bCs/>
          <w:lang w:val="en-US" w:bidi="en-US"/>
        </w:rPr>
        <w:instrText>∼</w:instrText>
      </w:r>
      <w:r w:rsidRPr="00813C0B">
        <w:rPr>
          <w:bCs/>
          <w:lang w:val="en-US" w:bidi="en-US"/>
        </w:rPr>
        <w:instrText>10 times) and superior charge-collection capability compared to the TiO2-based counterpart with similar thickness and conversion efficiency.","author":[{"dropping-particle":"","family":"Oh","given":"Lee Seul","non-dropping-particle":"","parse-names":false,"suffix":""},{"dropping-particle":"","family":"Kim","given":"Dong Hoe","non-dropping-particle":"","parse-names":false,"suffix":""},{"dropping-particle":"","family":"Lee","given":"Jin Ah","non-dropping-particle":"","parse-names":false,"suffix":""},{"dropping-particle":"","family":"Shin","given":"Seong Sik","non-dropping-particle":"","parse-names":false,"suffix":""},{"dropping-particle":"","family":"Lee","given":"Jin Wook","non-dropping-particle":"","parse-names":false,"suffix":""},{"dropping-particle":"","family":"Park","given":"Ik Jae","non-dropping-particle":"","parse-names":false,"suffix":""},{"dropping-particle":"","family":"Ko","given":"Min Jae","non-dropping-particle":"","parse-names":false,"suffix":""},{"dropping-particle":"","family":"Park","given":"Nam Gyu","non-dropping-particle":"","parse-names":false,"suffix":""},{"dropping-particle":"","family":"Pyo","given":"Sung Gyu","non-dropping-particle":"","parse-names":false,"suffix":""},{"dropping-particle":"","family":"Hong","given":"Kug Sun","non-dropping-particle":"","parse-names":false,"suffix":""},{"dropping-particle":"","family":"Kim","given":"Jin Young","non-dropping-particle":"","parse-names":false,"suffix":""}],"container-title":"Journal of Physical Chemistry C","id":"ITEM-1","issue":"40","issued":{"date-parts":[["2014"]]},"page":"22991-22994","title":"Zn2SnO4-based photoelectrodes for organolead halide perovskite solar cells","type":"article-journal","volume":"118"},"uris":["http://www.mendeley.com/documents/?uuid=0ab58201-c791-4f6e-95c3-fe2cd4422a4b"]}],"mendeley":{"formattedCitation":"&lt;sup&gt;19&lt;/sup&gt;","plainTextFormattedCitation":"19","previouslyFormattedCitation":"&lt;sup&gt;19&lt;/sup&gt;"},"properties":{"noteIndex":0},"schema":"https://github.com/citation-style-language/schema/raw/master/csl-citation.json"}</w:instrText>
      </w:r>
      <w:r w:rsidRPr="00813C0B">
        <w:rPr>
          <w:bCs/>
          <w:lang w:val="en-US" w:bidi="en-US"/>
        </w:rPr>
        <w:fldChar w:fldCharType="separate"/>
      </w:r>
      <w:r w:rsidRPr="00813C0B">
        <w:rPr>
          <w:bCs/>
          <w:vertAlign w:val="superscript"/>
          <w:lang w:val="en-US" w:bidi="en-US"/>
        </w:rPr>
        <w:t>19</w:t>
      </w:r>
      <w:r w:rsidRPr="00813C0B">
        <w:rPr>
          <w:bCs/>
          <w:lang w:val="en-US"/>
        </w:rPr>
        <w:fldChar w:fldCharType="end"/>
      </w:r>
      <w:r w:rsidR="00F03D02">
        <w:rPr>
          <w:bCs/>
          <w:vertAlign w:val="superscript"/>
          <w:lang w:val="en-US"/>
        </w:rPr>
        <w:t>]</w:t>
      </w:r>
      <w:r w:rsidRPr="00813C0B">
        <w:rPr>
          <w:bCs/>
          <w:lang w:val="en-US" w:bidi="en-US"/>
        </w:rPr>
        <w:t xml:space="preserve"> </w:t>
      </w:r>
      <w:proofErr w:type="spellStart"/>
      <w:r w:rsidRPr="00813C0B">
        <w:rPr>
          <w:bCs/>
          <w:lang w:val="en-US" w:bidi="en-US"/>
        </w:rPr>
        <w:t>Thambidurai</w:t>
      </w:r>
      <w:proofErr w:type="spellEnd"/>
      <w:r w:rsidRPr="00813C0B">
        <w:rPr>
          <w:bCs/>
          <w:lang w:val="en-US" w:bidi="en-US"/>
        </w:rPr>
        <w:t xml:space="preserve"> et al. studied the viability of various ZTOs as potential ETL alternative in PSCs, discovering that the device with Zn</w:t>
      </w:r>
      <w:r w:rsidRPr="00813C0B">
        <w:rPr>
          <w:bCs/>
          <w:vertAlign w:val="subscript"/>
          <w:lang w:val="en-US" w:bidi="en-US"/>
        </w:rPr>
        <w:t>1</w:t>
      </w:r>
      <w:r w:rsidRPr="00813C0B">
        <w:rPr>
          <w:bCs/>
          <w:lang w:val="en-US" w:bidi="en-US"/>
        </w:rPr>
        <w:t>Sn</w:t>
      </w:r>
      <w:r w:rsidRPr="00813C0B">
        <w:rPr>
          <w:bCs/>
          <w:vertAlign w:val="subscript"/>
          <w:lang w:val="en-US" w:bidi="en-US"/>
        </w:rPr>
        <w:t>1</w:t>
      </w:r>
      <w:r w:rsidRPr="00813C0B">
        <w:rPr>
          <w:bCs/>
          <w:lang w:val="en-US" w:bidi="en-US"/>
        </w:rPr>
        <w:t>O</w:t>
      </w:r>
      <w:r w:rsidRPr="00813C0B">
        <w:rPr>
          <w:bCs/>
          <w:vertAlign w:val="subscript"/>
          <w:lang w:val="en-US" w:bidi="en-US"/>
        </w:rPr>
        <w:t>x</w:t>
      </w:r>
      <w:r w:rsidRPr="00813C0B">
        <w:rPr>
          <w:bCs/>
          <w:lang w:val="en-US" w:bidi="en-US"/>
        </w:rPr>
        <w:t>/SnO</w:t>
      </w:r>
      <w:r w:rsidRPr="00813C0B">
        <w:rPr>
          <w:bCs/>
          <w:vertAlign w:val="subscript"/>
          <w:lang w:val="en-US" w:bidi="en-US"/>
        </w:rPr>
        <w:t>2</w:t>
      </w:r>
      <w:r w:rsidRPr="00813C0B">
        <w:rPr>
          <w:bCs/>
          <w:lang w:val="en-US" w:bidi="en-US"/>
        </w:rPr>
        <w:t xml:space="preserve"> as a bilayer ETL achieved the maximum PCE of 19.01% exhibiting enhanced charge collection and decreased charge recombination.</w:t>
      </w:r>
      <w:r w:rsidR="00F03D02">
        <w:rPr>
          <w:bCs/>
          <w:vertAlign w:val="superscript"/>
          <w:lang w:val="en-US" w:bidi="en-US"/>
        </w:rPr>
        <w:t>[</w:t>
      </w:r>
      <w:r w:rsidRPr="00813C0B">
        <w:rPr>
          <w:bCs/>
          <w:lang w:val="en-US" w:bidi="en-US"/>
        </w:rPr>
        <w:fldChar w:fldCharType="begin" w:fldLock="1"/>
      </w:r>
      <w:r w:rsidRPr="00813C0B">
        <w:rPr>
          <w:bCs/>
          <w:lang w:val="en-US" w:bidi="en-US"/>
        </w:rPr>
        <w:instrText>ADDIN CSL_CITATION {"citationItems":[{"id":"ITEM-1","itemData":{"DOI":"10.1016/j.jpowsour.2019.227362","ISSN":"03787753","abstract":"In planar perovskite solar cells, the electron transport layer (ETL) plays a vital role in effective extraction and transportation of photogenerated electrons from the perovskite layer to the cathode. Ternary metal oxides exhibit excellent potentials as ETLs since their electrical and optical properties are attunable through simple compositional adjustments. In this paper, we demonstrate the use of solution-processed zinc oxide (ZnO) and zinc tin oxide (ZTO) films as highly efficient ETLs for perovskite solar cells. We observe poor compatibility between ZnO and perovskite which impedes device reproducibility, stability, and performance unlike ZTO ETL devices. Furthermore, we modify the ZTO/perovskite interface by introducing a thin passivating SnO2 interlayer. The Zn1Sn1Ox/SnO2 ETL device demonstrates paramount power conversion efficiency (PCE) of 19.01% with corresponding short circuit current density (Jsc), open circuit voltage (Voc), and fill factor (FF) values of 21.93 mA cm−2, 1.10 V, and 78.82%. Moreover, the Zn1Sn1Ox/SnO2 ETL device displays superior stability, maintaining 90% of its initial PCE after 90 days in the absence of encapsulation at relative humidity of 30–40%. Enhancement in charge extraction, favourable energy alignment, and reduction in recombination sites greatly contribute to the optimal performance, stability, and reproducibility of the Zn1Sn1Ox/SnO2 ETL device.","author":[{"dropping-particle":"","family":"Thambidurai","given":"M.","non-dropping-particle":"","parse-names":false,"suffix":""},{"dropping-particle":"","family":"Shini","given":"Foo","non-dropping-particle":"","parse-names":false,"suffix":""},{"dropping-particle":"","family":"Harikesh","given":"P. C.","non-dropping-particle":"","parse-names":false,"suffix":""},{"dropping-particle":"","family":"Mathews","given":"Nripan","non-dropping-particle":"","parse-names":false,"suffix":""},{"dropping-particle":"","family":"Dang","given":"Cuong","non-dropping-particle":"","parse-names":false,"suffix":""}],"container-title":"Journal of Power Sources","id":"ITEM-1","issue":"October 2019","issued":{"date-parts":[["2020"]]},"page":"227362","publisher":"Elsevier B.V.","title":"Highly stable and efficient planar perovskite solar cells using ternary metal oxide electron transport layers","type":"article-journal","volume":"448"},"uris":["http://www.mendeley.com/documents/?uuid=030acb4c-fdb4-407a-9757-09b8386356be"]}],"mendeley":{"formattedCitation":"&lt;sup&gt;20&lt;/sup&gt;","plainTextFormattedCitation":"20","previouslyFormattedCitation":"&lt;sup&gt;20&lt;/sup&gt;"},"properties":{"noteIndex":0},"schema":"https://github.com/citation-style-language/schema/raw/master/csl-citation.json"}</w:instrText>
      </w:r>
      <w:r w:rsidRPr="00813C0B">
        <w:rPr>
          <w:bCs/>
          <w:lang w:val="en-US" w:bidi="en-US"/>
        </w:rPr>
        <w:fldChar w:fldCharType="separate"/>
      </w:r>
      <w:r w:rsidRPr="00813C0B">
        <w:rPr>
          <w:bCs/>
          <w:vertAlign w:val="superscript"/>
          <w:lang w:val="en-US" w:bidi="en-US"/>
        </w:rPr>
        <w:t>20</w:t>
      </w:r>
      <w:r w:rsidRPr="00813C0B">
        <w:rPr>
          <w:bCs/>
          <w:lang w:val="en-US"/>
        </w:rPr>
        <w:fldChar w:fldCharType="end"/>
      </w:r>
      <w:r w:rsidR="00F03D02">
        <w:rPr>
          <w:bCs/>
          <w:vertAlign w:val="superscript"/>
          <w:lang w:val="en-US"/>
        </w:rPr>
        <w:t>]</w:t>
      </w:r>
      <w:r w:rsidRPr="00813C0B">
        <w:rPr>
          <w:bCs/>
          <w:lang w:val="en-US" w:bidi="en-US"/>
        </w:rPr>
        <w:t xml:space="preserve"> Furthermore, Shalan et al. showed that ZTO ETLs yielded better photovoltaic properties, attaining a peak PCE of 17.81%, in contrast with ZnO binary metal oxide ETLs with PCE of 12.02%.</w:t>
      </w:r>
      <w:r w:rsidR="00F03D02">
        <w:rPr>
          <w:bCs/>
          <w:vertAlign w:val="superscript"/>
          <w:lang w:val="en-US" w:bidi="en-US"/>
        </w:rPr>
        <w:t>[</w:t>
      </w:r>
      <w:r w:rsidRPr="00813C0B">
        <w:rPr>
          <w:bCs/>
          <w:lang w:val="en-US" w:bidi="en-US"/>
        </w:rPr>
        <w:fldChar w:fldCharType="begin" w:fldLock="1"/>
      </w:r>
      <w:r w:rsidRPr="00813C0B">
        <w:rPr>
          <w:bCs/>
          <w:lang w:val="en-US" w:bidi="en-US"/>
        </w:rPr>
        <w:instrText>ADDIN CSL_CITATION {"citationItems":[{"id":"ITEM-1","itemData":{"DOI":"10.1039/c9na00182d","ISSN":"25160230","abstract":"Tin-zinc-oxide nanocomposites (SZO) with various Sn:Zn ratios were successfully fabricated and tested as electron transport layers (ETLs) in perovskite solar cells (PVSCs). The fabricated nanocomposites showed good crystallinity, good contact between layers, good electrical conductivity, and favorable light absorption, resulting in an enhancement in the net efficiency of CH3NH3PbI3 (MAPI)-based perovskite solar cells. The device made of SZO-Sn0.05 as an ETL showed a maximum power conversion efficiency (PCE) of 17.81% with a short-circuit current density (Jsc) of 23.59 mA cm-2, an open-circuit voltage (Voc) of 1 V, and a fill factor (FF) of 0.754. However, the ETL containing lower Sn ratios showed PCEs of 12.02, 13.80 and 15.86% for pure ZnO, SZO-Sn0.2 and SZO-Sn0.1, respectively. Meanwhile, the reproducibility of 30 fabricated devices proved the outstanding long-term stability of the cells based on SZO nanocomposites, retaining ≈85% of their PCE over 1200 h of operation. In addition, the incident-photon-to-current efficiency (IPCE) exceeded 90% over the entire wavelength range from 400 to 800 nm. The enhancement in the PCE of the fabricated PVSCs can be ascribed to the large surface area of the SZO nanoparticles, high charge extraction efficiency, and suppression of charge recombination provided by SnOx. The current results suggest that our synthesized tin-zinc-oxide nanocomposite is an effective electron transport layer for efficient and stable perovskite solar cells.","author":[{"dropping-particle":"","family":"Shalan","given":"Ahmed E.","non-dropping-particle":"","parse-names":false,"suffix":""},{"dropping-particle":"","family":"El-Shazly","given":"Ayat N.","non-dropping-particle":"","parse-names":false,"suffix":""},{"dropping-particle":"","family":"Rashad","given":"Mohamed M.","non-dropping-particle":"","parse-names":false,"suffix":""},{"dropping-particle":"","family":"Allam","given":"Nageh K.","non-dropping-particle":"","parse-names":false,"suffix":""}],"container-title":"Nanoscale Advances","id":"ITEM-1","issue":"7","issued":{"date-parts":[["2019"]]},"page":"2654-2662","publisher":"Royal Society of Chemistry","title":"Tin-zinc-oxide nanocomposites (SZO) as promising electron transport layers for efficient and stable perovskite solar cells","type":"article-journal","volume":"1"},"uris":["http://www.mendeley.com/documents/?uuid=a132d04d-17cc-427f-8403-15ed787ff453"]}],"mendeley":{"formattedCitation":"&lt;sup&gt;21&lt;/sup&gt;","plainTextFormattedCitation":"21","previouslyFormattedCitation":"&lt;sup&gt;21&lt;/sup&gt;"},"properties":{"noteIndex":0},"schema":"https://github.com/citation-style-language/schema/raw/master/csl-citation.json"}</w:instrText>
      </w:r>
      <w:r w:rsidRPr="00813C0B">
        <w:rPr>
          <w:bCs/>
          <w:lang w:val="en-US" w:bidi="en-US"/>
        </w:rPr>
        <w:fldChar w:fldCharType="separate"/>
      </w:r>
      <w:r w:rsidRPr="00813C0B">
        <w:rPr>
          <w:bCs/>
          <w:vertAlign w:val="superscript"/>
          <w:lang w:val="en-US" w:bidi="en-US"/>
        </w:rPr>
        <w:t>21</w:t>
      </w:r>
      <w:r w:rsidRPr="00813C0B">
        <w:rPr>
          <w:bCs/>
          <w:lang w:val="en-US"/>
        </w:rPr>
        <w:fldChar w:fldCharType="end"/>
      </w:r>
      <w:r w:rsidR="00F03D02">
        <w:rPr>
          <w:bCs/>
          <w:vertAlign w:val="superscript"/>
          <w:lang w:val="en-US"/>
        </w:rPr>
        <w:t>]</w:t>
      </w:r>
    </w:p>
    <w:p w14:paraId="6549F4AE" w14:textId="4861A33D" w:rsidR="00C23B8E" w:rsidRDefault="00813C0B" w:rsidP="00B453F9">
      <w:pPr>
        <w:spacing w:line="360" w:lineRule="auto"/>
        <w:ind w:firstLine="708"/>
        <w:rPr>
          <w:bCs/>
          <w:lang w:val="en-US"/>
        </w:rPr>
      </w:pPr>
      <w:r w:rsidRPr="00813C0B">
        <w:rPr>
          <w:bCs/>
          <w:lang w:val="en-US"/>
        </w:rPr>
        <w:lastRenderedPageBreak/>
        <w:t xml:space="preserve">Bilayers comprising both crystalline and amorphous forms of ternary metal oxides represent a relatively untapped area of research in the development of ETLs for PSCs, offering a myriad of possibilities for further study. In addition, the research on ternary metal oxide ETLs in conjunction with mixed-cation mixed-halide perovskite absorber layer remains notably limited. In this research, a solution-based technique is employed to produce dense and uniform thin films of crystalline zinc stannate (ZS) and amorphous ZTO along with their bilayer composition. The optoelectronic properties of these materials were studied, along with their morphological analysis and compatibility with mixed-cation mixed-halide perovskite layer </w:t>
      </w:r>
      <w:bookmarkStart w:id="1" w:name="_Hlk136421097"/>
      <w:r w:rsidRPr="00813C0B">
        <w:rPr>
          <w:bCs/>
          <w:lang w:val="en-US"/>
        </w:rPr>
        <w:t>(Cs</w:t>
      </w:r>
      <w:r w:rsidRPr="00813C0B">
        <w:rPr>
          <w:bCs/>
          <w:vertAlign w:val="subscript"/>
          <w:lang w:val="en-US"/>
        </w:rPr>
        <w:t>0.1</w:t>
      </w:r>
      <w:r w:rsidRPr="00813C0B">
        <w:rPr>
          <w:bCs/>
          <w:lang w:val="en-US"/>
        </w:rPr>
        <w:t>MA</w:t>
      </w:r>
      <w:r w:rsidRPr="00813C0B">
        <w:rPr>
          <w:bCs/>
          <w:vertAlign w:val="subscript"/>
          <w:lang w:val="en-US"/>
        </w:rPr>
        <w:t>0.9</w:t>
      </w:r>
      <w:r w:rsidRPr="00813C0B">
        <w:rPr>
          <w:bCs/>
          <w:lang w:val="en-US"/>
        </w:rPr>
        <w:t>Pb(I</w:t>
      </w:r>
      <w:r w:rsidRPr="00813C0B">
        <w:rPr>
          <w:bCs/>
          <w:vertAlign w:val="subscript"/>
          <w:lang w:val="en-US"/>
        </w:rPr>
        <w:t>0.9</w:t>
      </w:r>
      <w:r w:rsidRPr="00813C0B">
        <w:rPr>
          <w:bCs/>
          <w:lang w:val="en-US"/>
        </w:rPr>
        <w:t>Br</w:t>
      </w:r>
      <w:r w:rsidRPr="00813C0B">
        <w:rPr>
          <w:bCs/>
          <w:vertAlign w:val="subscript"/>
          <w:lang w:val="en-US"/>
        </w:rPr>
        <w:t>0.1</w:t>
      </w:r>
      <w:r w:rsidRPr="00813C0B">
        <w:rPr>
          <w:bCs/>
          <w:lang w:val="en-US"/>
        </w:rPr>
        <w:t>)</w:t>
      </w:r>
      <w:r w:rsidRPr="00813C0B">
        <w:rPr>
          <w:bCs/>
          <w:vertAlign w:val="subscript"/>
          <w:lang w:val="en-US"/>
        </w:rPr>
        <w:t>3</w:t>
      </w:r>
      <w:r w:rsidRPr="00813C0B">
        <w:rPr>
          <w:bCs/>
          <w:lang w:val="en-US"/>
        </w:rPr>
        <w:t>)</w:t>
      </w:r>
      <w:bookmarkEnd w:id="1"/>
      <w:r w:rsidRPr="00813C0B">
        <w:rPr>
          <w:bCs/>
          <w:lang w:val="en-US"/>
        </w:rPr>
        <w:t>. Essentially, the study highlights the potential of zinc-tin-based ternary metal oxides as a superior ETL alternative due to their exceptional intrinsic properties. Furthermore, improvement in optoelectronic parameters such as charge carrier mobility, surface morphology, and reduced carrier recombination were demonstrated using the ZTO/ZS bilayer ETL.</w:t>
      </w:r>
    </w:p>
    <w:p w14:paraId="697A414E" w14:textId="77777777" w:rsidR="00B453F9" w:rsidRPr="00813C0B" w:rsidRDefault="00B453F9" w:rsidP="008C6D5F">
      <w:pPr>
        <w:spacing w:line="360" w:lineRule="auto"/>
        <w:rPr>
          <w:bCs/>
          <w:lang w:val="en-US"/>
        </w:rPr>
      </w:pPr>
    </w:p>
    <w:p w14:paraId="6EFC6A35" w14:textId="2C48704F" w:rsidR="00562E2B" w:rsidRPr="00B453F9" w:rsidRDefault="002D16A0" w:rsidP="00DC43A2">
      <w:pPr>
        <w:pStyle w:val="Head1"/>
      </w:pPr>
      <w:r w:rsidRPr="00B453F9">
        <w:t xml:space="preserve">2. </w:t>
      </w:r>
      <w:r w:rsidR="00B453F9" w:rsidRPr="00B453F9">
        <w:t>Results and Discussion</w:t>
      </w:r>
    </w:p>
    <w:p w14:paraId="0419006C" w14:textId="7BA6F682" w:rsidR="00B453F9" w:rsidRPr="00DC43A2" w:rsidRDefault="00B453F9" w:rsidP="00DC43A2">
      <w:pPr>
        <w:pStyle w:val="Head1"/>
        <w:rPr>
          <w:b w:val="0"/>
          <w:bCs w:val="0"/>
        </w:rPr>
      </w:pPr>
      <w:r w:rsidRPr="00DC43A2">
        <w:rPr>
          <w:b w:val="0"/>
          <w:bCs w:val="0"/>
        </w:rPr>
        <w:t xml:space="preserve">XRD analysis was carried out to determine the crystal structure of the deposited films. </w:t>
      </w:r>
      <w:r w:rsidRPr="00DB4B47">
        <w:t>Figure 1</w:t>
      </w:r>
      <w:r w:rsidRPr="00DC43A2">
        <w:rPr>
          <w:b w:val="0"/>
          <w:bCs w:val="0"/>
        </w:rPr>
        <w:t>a shows the XRD patterns of ZTO, ZS and bilayer films grown on FTO glass substrate. As previously reported, ZTO, being amorphous in nature, did not show any distinctive crystalline phase (</w:t>
      </w:r>
      <w:r w:rsidRPr="00F628F1">
        <w:rPr>
          <w:bCs w:val="0"/>
        </w:rPr>
        <w:t>Fig</w:t>
      </w:r>
      <w:r w:rsidR="00DB4B47" w:rsidRPr="00F628F1">
        <w:rPr>
          <w:bCs w:val="0"/>
        </w:rPr>
        <w:t>ure</w:t>
      </w:r>
      <w:r w:rsidRPr="00F628F1">
        <w:rPr>
          <w:bCs w:val="0"/>
        </w:rPr>
        <w:t xml:space="preserve"> S</w:t>
      </w:r>
      <w:r w:rsidR="00DB4B47" w:rsidRPr="00F628F1">
        <w:rPr>
          <w:bCs w:val="0"/>
        </w:rPr>
        <w:t>1</w:t>
      </w:r>
      <w:r w:rsidRPr="00DC43A2">
        <w:rPr>
          <w:b w:val="0"/>
          <w:bCs w:val="0"/>
        </w:rPr>
        <w:t xml:space="preserve">, </w:t>
      </w:r>
      <w:r w:rsidR="00DB4B47">
        <w:rPr>
          <w:b w:val="0"/>
          <w:bCs w:val="0"/>
        </w:rPr>
        <w:t>S</w:t>
      </w:r>
      <w:r w:rsidRPr="00DC43A2">
        <w:rPr>
          <w:b w:val="0"/>
          <w:bCs w:val="0"/>
        </w:rPr>
        <w:t xml:space="preserve">upplementary </w:t>
      </w:r>
      <w:r w:rsidR="00DB4B47">
        <w:rPr>
          <w:b w:val="0"/>
          <w:bCs w:val="0"/>
        </w:rPr>
        <w:t>Information</w:t>
      </w:r>
      <w:r w:rsidRPr="00DC43A2">
        <w:rPr>
          <w:b w:val="0"/>
          <w:bCs w:val="0"/>
        </w:rPr>
        <w:t>).</w:t>
      </w:r>
      <w:r w:rsidR="00F03D02">
        <w:rPr>
          <w:b w:val="0"/>
          <w:bCs w:val="0"/>
          <w:vertAlign w:val="superscript"/>
        </w:rPr>
        <w:t>[</w:t>
      </w:r>
      <w:r w:rsidRPr="00DC43A2">
        <w:rPr>
          <w:b w:val="0"/>
          <w:bCs w:val="0"/>
        </w:rPr>
        <w:fldChar w:fldCharType="begin" w:fldLock="1"/>
      </w:r>
      <w:r w:rsidRPr="00DC43A2">
        <w:rPr>
          <w:b w:val="0"/>
          <w:bCs w:val="0"/>
        </w:rPr>
        <w:instrText>ADDIN CSL_CITATION {"citationItems":[{"id":"ITEM-1","itemData":{"DOI":"10.1016/j.jpowsour.2019.227362","ISSN":"03787753","abstract":"In planar perovskite solar cells, the electron transport layer (ETL) plays a vital role in effective extraction and transportation of photogenerated electrons from the perovskite layer to the cathode. Ternary metal oxides exhibit excellent potentials as ETLs since their electrical and optical properties are attunable through simple compositional adjustments. In this paper, we demonstrate the use of solution-processed zinc oxide (ZnO) and zinc tin oxide (ZTO) films as highly efficient ETLs for perovskite solar cells. We observe poor compatibility between ZnO and perovskite which impedes device reproducibility, stability, and performance unlike ZTO ETL devices. Furthermore, we modify the ZTO/perovskite interface by introducing a thin passivating SnO2 interlayer. The Zn1Sn1Ox/SnO2 ETL device demonstrates paramount power conversion efficiency (PCE) of 19.01% with corresponding short circuit current density (Jsc), open circuit voltage (Voc), and fill factor (FF) values of 21.93 mA cm−2, 1.10 V, and 78.82%. Moreover, the Zn1Sn1Ox/SnO2 ETL device displays superior stability, maintaining 90% of its initial PCE after 90 days in the absence of encapsulation at relative humidity of 30–40%. Enhancement in charge extraction, favourable energy alignment, and reduction in recombination sites greatly contribute to the optimal performance, stability, and reproducibility of the Zn1Sn1Ox/SnO2 ETL device.","author":[{"dropping-particle":"","family":"Thambidurai","given":"M.","non-dropping-particle":"","parse-names":false,"suffix":""},{"dropping-particle":"","family":"Shini","given":"Foo","non-dropping-particle":"","parse-names":false,"suffix":""},{"dropping-particle":"","family":"Harikesh","given":"P. C.","non-dropping-particle":"","parse-names":false,"suffix":""},{"dropping-particle":"","family":"Mathews","given":"Nripan","non-dropping-particle":"","parse-names":false,"suffix":""},{"dropping-particle":"","family":"Dang","given":"Cuong","non-dropping-particle":"","parse-names":false,"suffix":""}],"container-title":"Journal of Power Sources","id":"ITEM-1","issue":"October 2019","issued":{"date-parts":[["2020"]]},"page":"227362","publisher":"Elsevier B.V.","title":"Highly stable and efficient planar perovskite solar cells using ternary metal oxide electron transport layers","type":"article-journal","volume":"448"},"uris":["http://www.mendeley.com/documents/?uuid=030acb4c-fdb4-407a-9757-09b8386356be"]},{"id":"ITEM-2","itemData":{"DOI":"10.1016/j.orgel.2012.01.011","ISSN":"15661199","abstract":"Solution processed, high electron mobility and highly transparent Zinc Tin Oxide (ZTO) was successfully exploited as electron transporting buffer layer in an inverted organic solar cell. The device configuration of FTO/ZTO/P3HT:PCBM/ WO3/Ag was employed. For comparison, an identical device using a sol-gel derived TiOx electron extracting layer was also fabricated. Increased short-circuit density (Jsc) and open-circuit voltage (Voc) were generated in the devices with ZTO layer in comparison to the ones with TiOx layer. It is attributed to a better electron transporting, hole blocking capacities and reduced recombination probabilities at electron collecting electrode with ZTO layer. A power conversion efficiency of 3.05% was achieved with ZTO devices. © 2012 Elsevier B.V. All rights reserved.","author":[{"dropping-particle":"","family":"Oo","given":"Than Zaw","non-dropping-particle":"","parse-names":false,"suffix":""},{"dropping-particle":"","family":"Devi Chandra","given":"R.","non-dropping-particle":"","parse-names":false,"suffix":""},{"dropping-particle":"","family":"Yantara","given":"Natalia","non-dropping-particle":"","parse-names":false,"suffix":""},{"dropping-particle":"","family":"Prabhakar","given":"Rajiv Ramanujam","non-dropping-particle":"","parse-names":false,"suffix":""},{"dropping-particle":"","family":"Wong","given":"Lydia H.","non-dropping-particle":"","parse-names":false,"suffix":""},{"dropping-particle":"","family":"Mathews","given":"Nripan","non-dropping-particle":"","parse-names":false,"suffix":""},{"dropping-particle":"","family":"Mhaisalkar","given":"Subodh G.","non-dropping-particle":"","parse-names":false,"suffix":""}],"container-title":"Organic Electronics","id":"ITEM-2","issue":"5","issued":{"date-parts":[["2012"]]},"page":"870-874","publisher":"Elsevier B.V.","title":"Zinc Tin Oxide (ZTO) electron transporting buffer layer in inverted organic solar cell","type":"article-journal","volume":"13"},"uris":["http://www.mendeley.com/documents/?uuid=627717f4-1a5f-435a-a514-dcd0b475aa93"]}],"mendeley":{"formattedCitation":"&lt;sup&gt;20,22&lt;/sup&gt;","plainTextFormattedCitation":"20,22","previouslyFormattedCitation":"&lt;sup&gt;20,22&lt;/sup&gt;"},"properties":{"noteIndex":0},"schema":"https://github.com/citation-style-language/schema/raw/master/csl-citation.json"}</w:instrText>
      </w:r>
      <w:r w:rsidRPr="00DC43A2">
        <w:rPr>
          <w:b w:val="0"/>
          <w:bCs w:val="0"/>
        </w:rPr>
        <w:fldChar w:fldCharType="separate"/>
      </w:r>
      <w:r w:rsidRPr="00DC43A2">
        <w:rPr>
          <w:b w:val="0"/>
          <w:bCs w:val="0"/>
          <w:vertAlign w:val="superscript"/>
        </w:rPr>
        <w:t>20,22</w:t>
      </w:r>
      <w:r w:rsidRPr="00DC43A2">
        <w:rPr>
          <w:b w:val="0"/>
          <w:bCs w:val="0"/>
        </w:rPr>
        <w:fldChar w:fldCharType="end"/>
      </w:r>
      <w:r w:rsidR="00F03D02">
        <w:rPr>
          <w:b w:val="0"/>
          <w:bCs w:val="0"/>
          <w:vertAlign w:val="superscript"/>
        </w:rPr>
        <w:t>]</w:t>
      </w:r>
      <w:r w:rsidRPr="00DC43A2">
        <w:rPr>
          <w:b w:val="0"/>
          <w:bCs w:val="0"/>
        </w:rPr>
        <w:t xml:space="preserve"> ZTO coated on FTO primarily exhibited a pattern similar to that of FTO due to its amorphous thin film.</w:t>
      </w:r>
      <w:r w:rsidR="00F03D02">
        <w:rPr>
          <w:b w:val="0"/>
          <w:bCs w:val="0"/>
          <w:vertAlign w:val="superscript"/>
        </w:rPr>
        <w:t>[</w:t>
      </w:r>
      <w:r w:rsidRPr="00DC43A2">
        <w:rPr>
          <w:b w:val="0"/>
          <w:bCs w:val="0"/>
        </w:rPr>
        <w:fldChar w:fldCharType="begin" w:fldLock="1"/>
      </w:r>
      <w:r w:rsidRPr="00DC43A2">
        <w:rPr>
          <w:b w:val="0"/>
          <w:bCs w:val="0"/>
        </w:rPr>
        <w:instrText>ADDIN CSL_CITATION {"citationItems":[{"id":"ITEM-1","itemData":{"abstract":"TiO2–SiO2 nanocomposite thin films have gained the attention of the scientific community due to their unique physical and chemical properties. In this paper, we report on the fabrication and characterization of a TiO2–SiO2 nanocomposite disk-shaped target. The target was used for the deposition of TiO2–SiO2 nanocomposite thin films on fluorine-doped tin oxide/glass substrates using the pulsed laser deposition (PLD) technique. The thicknesses of the thin films were fixed to 100 nm, and the deposition temperature ranged from room temperature to 300 C. As revealed by the microstructural and morphological characterizations revealed, the TiO2–SiO2 nanocomposite thin films are amorphous and display homogeneous distribution. The determined values of the indirect optical band gap range from 2.92 to 3.07 eV, while those of the direct optical band gap lie between 3.50 and 3.55 eV. Additionally, as the deposition temperature decreases, the light transmission increases in the visible and in the ultraviolet ranges, which is suitable for flexible perovskite solar cells. This research can uncover new insights into the fabrication of amorphous TiO2–SiO2-based nanostructured thin films using the PLD technique for perovskite solar cell technology.","author":[{"dropping-particle":"","family":"Kadri","given":"Laid","non-dropping-particle":"","parse-names":false,"suffix":""},{"dropping-particle":"","family":"Abderrahmane","given":"Abdelkader","non-dropping-particle":"","parse-names":false,"suffix":""},{"dropping-particle":"","family":"Bulai","given":"Georgiana","non-dropping-particle":"","parse-names":false,"suffix":""},{"dropping-particle":"","family":"Carlescu","given":"Aurelian","non-dropping-particle":"","parse-names":false,"suffix":""},{"dropping-particle":"","family":"Doroftei","given":"Corneliu","non-dropping-particle":"","parse-names":false,"suffix":""},{"dropping-particle":"","family":"Motrescu","given":"Iuliana","non-dropping-particle":"","parse-names":false,"suffix":""},{"dropping-particle":"","family":"Gurlui","given":"Silviu","non-dropping-particle":"","parse-names":false,"suffix":""},{"dropping-particle":"","family":"Leontie","given":"Liviu","non-dropping-particle":"","parse-names":false,"suffix":""},{"dropping-particle":"","family":"Adnane","given":"Mohamed","non-dropping-particle":"","parse-names":false,"suffix":""}],"id":"ITEM-1","issued":{"date-parts":[["2023"]]},"title":"Optical and Structural Analysis of TiO 2 – SiO 2 Nanocomposite Thin Films Fabricated via Pulsed Laser Deposition Technique","type":"article-journal"},"uris":["http://www.mendeley.com/documents/?uuid=d996ef49-eb58-4c1d-b71b-5f0e670dcddc"]}],"mendeley":{"formattedCitation":"&lt;sup&gt;23&lt;/sup&gt;","plainTextFormattedCitation":"23","previouslyFormattedCitation":"&lt;sup&gt;23&lt;/sup&gt;"},"properties":{"noteIndex":0},"schema":"https://github.com/citation-style-language/schema/raw/master/csl-citation.json"}</w:instrText>
      </w:r>
      <w:r w:rsidRPr="00DC43A2">
        <w:rPr>
          <w:b w:val="0"/>
          <w:bCs w:val="0"/>
        </w:rPr>
        <w:fldChar w:fldCharType="separate"/>
      </w:r>
      <w:r w:rsidRPr="00DC43A2">
        <w:rPr>
          <w:b w:val="0"/>
          <w:bCs w:val="0"/>
          <w:vertAlign w:val="superscript"/>
        </w:rPr>
        <w:t>23</w:t>
      </w:r>
      <w:r w:rsidRPr="00DC43A2">
        <w:rPr>
          <w:b w:val="0"/>
          <w:bCs w:val="0"/>
        </w:rPr>
        <w:fldChar w:fldCharType="end"/>
      </w:r>
      <w:r w:rsidR="00F03D02">
        <w:rPr>
          <w:b w:val="0"/>
          <w:bCs w:val="0"/>
          <w:vertAlign w:val="superscript"/>
        </w:rPr>
        <w:t>]</w:t>
      </w:r>
      <w:r w:rsidRPr="00DC43A2">
        <w:rPr>
          <w:b w:val="0"/>
          <w:bCs w:val="0"/>
        </w:rPr>
        <w:t xml:space="preserve"> The diffraction peaks observed in the ZS XRD pattern at 2</w:t>
      </w:r>
      <w:r w:rsidRPr="00DC43A2">
        <w:rPr>
          <w:b w:val="0"/>
          <w:bCs w:val="0"/>
          <w:i/>
        </w:rPr>
        <w:sym w:font="Symbol" w:char="F071"/>
      </w:r>
      <w:r w:rsidRPr="00DC43A2">
        <w:rPr>
          <w:b w:val="0"/>
          <w:bCs w:val="0"/>
        </w:rPr>
        <w:t xml:space="preserve"> positions of 17.72, 29.14, 34.29, 35.91, 45.64, 63.51 and 68.49</w:t>
      </w:r>
      <w:r w:rsidRPr="00DC43A2">
        <w:rPr>
          <w:b w:val="0"/>
          <w:bCs w:val="0"/>
        </w:rPr>
        <w:sym w:font="Symbol" w:char="F0B0"/>
      </w:r>
      <w:r w:rsidRPr="00DC43A2">
        <w:rPr>
          <w:b w:val="0"/>
          <w:bCs w:val="0"/>
        </w:rPr>
        <w:t xml:space="preserve"> correspond to </w:t>
      </w:r>
      <w:proofErr w:type="spellStart"/>
      <w:r w:rsidRPr="00DC43A2">
        <w:rPr>
          <w:b w:val="0"/>
          <w:bCs w:val="0"/>
        </w:rPr>
        <w:t>hkl</w:t>
      </w:r>
      <w:proofErr w:type="spellEnd"/>
      <w:r w:rsidRPr="00DC43A2">
        <w:rPr>
          <w:b w:val="0"/>
          <w:bCs w:val="0"/>
        </w:rPr>
        <w:t xml:space="preserve"> planes (111), (220), (311), (222), (331), (531) and (620), respectively. These characteristic peaks exhibited the highly crystalline cubic spinal phase structure of ZS (JCPDS No. 24-1470).</w:t>
      </w:r>
      <w:r w:rsidR="00F03D02">
        <w:rPr>
          <w:b w:val="0"/>
          <w:bCs w:val="0"/>
          <w:vertAlign w:val="superscript"/>
        </w:rPr>
        <w:t>[</w:t>
      </w:r>
      <w:r w:rsidRPr="00DC43A2">
        <w:rPr>
          <w:b w:val="0"/>
          <w:bCs w:val="0"/>
        </w:rPr>
        <w:fldChar w:fldCharType="begin" w:fldLock="1"/>
      </w:r>
      <w:r w:rsidRPr="00DC43A2">
        <w:rPr>
          <w:b w:val="0"/>
          <w:bCs w:val="0"/>
        </w:rPr>
        <w:instrText>ADDIN CSL_CITATION {"citationItems":[{"id":"ITEM-1","itemData":{"DOI":"10.1016/j.nanoen.2020.105038","ISSN":"22112855","abstract":"The electron transport layer (ETL) is a key constituent in perovskite solar cells (PSCs). It should provide efficient and selective electron extraction, low resistivity and high stability. Here, zinc stannate (Zn2SnO4, ZSO) is employed as an ETL in planar PSCs. A surface treatment of a compact ZSO layer is introduced based on chemical bath deposition (CBD). CBD results in a dense and uniform surface morphology that promotes the formation of a perovskite film with better surface coverage and enlarged grains, which lead to reduced recombination losses. Such improvements effectively increase the charge extraction at ETL/perovskite interface and reduce trap‒assisted recombination, which results in a remarkable photovoltaic performance, low hysteresis index, and good reproducibility. The efficiency of PSCs based on CBD‒modified ZSO ETL has been dramatically increased from 19.3% to 21.3% with a notable increase in open circuit voltage of 60 mV compared to bare ZSO‒based devices. This value is among the highest for ZSO‒based PSCs. More importantly, the CBD‒treated PSCs exhibited good stability, retaining more than 90% of its initial efficiency over 1000 h under continuous illumination at maximum power point. These results demonstrate that CBD can significantly improve the performance and stability of ZSO‒based planar PSCs, a crucial requirement for commercialization.","author":[{"dropping-particle":"","family":"Sadegh","given":"Faranak","non-dropping-particle":"","parse-names":false,"suffix":""},{"dropping-particle":"","family":"Akin","given":"Seckin","non-dropping-particle":"","parse-names":false,"suffix":""},{"dropping-particle":"","family":"Moghadam","given":"Majid","non-dropping-particle":"","parse-names":false,"suffix":""},{"dropping-particle":"","family":"Mirkhani","given":"Valiollah","non-dropping-particle":"","parse-names":false,"suffix":""},{"dropping-particle":"","family":"Ruiz‒Preciado","given":"Marco A.","non-dropping-particle":"","parse-names":false,"suffix":""},{"dropping-particle":"","family":"Wang","given":"Zaiwei","non-dropping-particle":"","parse-names":false,"suffix":""},{"dropping-particle":"","family":"Tavakoli","given":"Mohammad Mahdi","non-dropping-particle":"","parse-names":false,"suffix":""},{"dropping-particle":"","family":"Graetzel","given":"Michael","non-dropping-particle":"","parse-names":false,"suffix":""},{"dropping-particle":"","family":"Hagfeldt","given":"Anders","non-dropping-particle":"","parse-names":false,"suffix":""},{"dropping-particle":"","family":"Tress","given":"Wolfgang","non-dropping-particle":"","parse-names":false,"suffix":""}],"container-title":"Nano Energy","id":"ITEM-1","issue":"April","issued":{"date-parts":[["2020"]]},"page":"105038","publisher":"Elsevier Ltd","title":"Highly efficient, stable and hysteresis‒less planar perovskite solar cell based on chemical bath treated Zn2SnO4 electron transport layer","type":"article-journal","volume":"75"},"uris":["http://www.mendeley.com/documents/?uuid=633df4a6-6594-46b5-a6a7-bf9ece906106"]}],"mendeley":{"formattedCitation":"&lt;sup&gt;24&lt;/sup&gt;","plainTextFormattedCitation":"24","previouslyFormattedCitation":"&lt;sup&gt;24&lt;/sup&gt;"},"properties":{"noteIndex":0},"schema":"https://github.com/citation-style-language/schema/raw/master/csl-citation.json"}</w:instrText>
      </w:r>
      <w:r w:rsidRPr="00DC43A2">
        <w:rPr>
          <w:b w:val="0"/>
          <w:bCs w:val="0"/>
        </w:rPr>
        <w:fldChar w:fldCharType="separate"/>
      </w:r>
      <w:r w:rsidRPr="00DC43A2">
        <w:rPr>
          <w:b w:val="0"/>
          <w:bCs w:val="0"/>
          <w:vertAlign w:val="superscript"/>
        </w:rPr>
        <w:t>24</w:t>
      </w:r>
      <w:r w:rsidRPr="00DC43A2">
        <w:rPr>
          <w:b w:val="0"/>
          <w:bCs w:val="0"/>
        </w:rPr>
        <w:fldChar w:fldCharType="end"/>
      </w:r>
      <w:r w:rsidR="00F03D02">
        <w:rPr>
          <w:b w:val="0"/>
          <w:bCs w:val="0"/>
          <w:vertAlign w:val="superscript"/>
        </w:rPr>
        <w:t>]</w:t>
      </w:r>
      <w:r w:rsidRPr="00DC43A2">
        <w:rPr>
          <w:b w:val="0"/>
          <w:bCs w:val="0"/>
        </w:rPr>
        <w:t xml:space="preserve"> In this XRD pattern, there are no distinctive peaks of SnO</w:t>
      </w:r>
      <w:r w:rsidRPr="00DC43A2">
        <w:rPr>
          <w:b w:val="0"/>
          <w:bCs w:val="0"/>
          <w:vertAlign w:val="subscript"/>
        </w:rPr>
        <w:t>2</w:t>
      </w:r>
      <w:r w:rsidRPr="00DC43A2">
        <w:rPr>
          <w:b w:val="0"/>
          <w:bCs w:val="0"/>
        </w:rPr>
        <w:t xml:space="preserve"> and ZnO, neither are there any additional diffraction peaks and impurity phases which shows the successful formation of ZS film with no impurities. XRD spectrum of bilayer ETL showed a similar structure with slightly less crystallinity.</w:t>
      </w:r>
    </w:p>
    <w:p w14:paraId="07316F56" w14:textId="390DD44D" w:rsidR="00B453F9" w:rsidRPr="00F76B01" w:rsidRDefault="00B453F9" w:rsidP="00D24FB1">
      <w:pPr>
        <w:pStyle w:val="Head1"/>
        <w:ind w:firstLine="708"/>
        <w:rPr>
          <w:b w:val="0"/>
          <w:bCs w:val="0"/>
          <w:vertAlign w:val="superscript"/>
        </w:rPr>
      </w:pPr>
      <w:r w:rsidRPr="00F628F1">
        <w:rPr>
          <w:b w:val="0"/>
        </w:rPr>
        <w:t>Figure 1</w:t>
      </w:r>
      <w:r w:rsidRPr="004D1237">
        <w:rPr>
          <w:b w:val="0"/>
          <w:bCs w:val="0"/>
        </w:rPr>
        <w:t>b</w:t>
      </w:r>
      <w:r w:rsidRPr="00DC43A2">
        <w:rPr>
          <w:b w:val="0"/>
          <w:bCs w:val="0"/>
        </w:rPr>
        <w:t xml:space="preserve"> provides the XRD spectra for the highly crystalline</w:t>
      </w:r>
      <w:bookmarkStart w:id="2" w:name="_Hlk131069788"/>
      <w:r w:rsidRPr="00DC43A2">
        <w:rPr>
          <w:b w:val="0"/>
          <w:bCs w:val="0"/>
        </w:rPr>
        <w:t xml:space="preserve"> Cs</w:t>
      </w:r>
      <w:r w:rsidRPr="00DC43A2">
        <w:rPr>
          <w:b w:val="0"/>
          <w:bCs w:val="0"/>
          <w:vertAlign w:val="subscript"/>
        </w:rPr>
        <w:t>0.1</w:t>
      </w:r>
      <w:r w:rsidRPr="00DC43A2">
        <w:rPr>
          <w:b w:val="0"/>
          <w:bCs w:val="0"/>
        </w:rPr>
        <w:t>MA</w:t>
      </w:r>
      <w:r w:rsidRPr="00DC43A2">
        <w:rPr>
          <w:b w:val="0"/>
          <w:bCs w:val="0"/>
          <w:vertAlign w:val="subscript"/>
        </w:rPr>
        <w:t>0.9</w:t>
      </w:r>
      <w:r w:rsidRPr="00DC43A2">
        <w:rPr>
          <w:b w:val="0"/>
          <w:bCs w:val="0"/>
        </w:rPr>
        <w:t>Pb(I</w:t>
      </w:r>
      <w:r w:rsidRPr="00DC43A2">
        <w:rPr>
          <w:b w:val="0"/>
          <w:bCs w:val="0"/>
          <w:vertAlign w:val="subscript"/>
        </w:rPr>
        <w:t>0.9</w:t>
      </w:r>
      <w:r w:rsidRPr="00DC43A2">
        <w:rPr>
          <w:b w:val="0"/>
          <w:bCs w:val="0"/>
        </w:rPr>
        <w:t>Br</w:t>
      </w:r>
      <w:r w:rsidRPr="00DC43A2">
        <w:rPr>
          <w:b w:val="0"/>
          <w:bCs w:val="0"/>
          <w:vertAlign w:val="subscript"/>
        </w:rPr>
        <w:t>0.1</w:t>
      </w:r>
      <w:r w:rsidRPr="00DC43A2">
        <w:rPr>
          <w:b w:val="0"/>
          <w:bCs w:val="0"/>
        </w:rPr>
        <w:t>)</w:t>
      </w:r>
      <w:r w:rsidRPr="00DC43A2">
        <w:rPr>
          <w:b w:val="0"/>
          <w:bCs w:val="0"/>
          <w:vertAlign w:val="subscript"/>
        </w:rPr>
        <w:t>3</w:t>
      </w:r>
      <w:r w:rsidRPr="00DC43A2">
        <w:rPr>
          <w:b w:val="0"/>
          <w:bCs w:val="0"/>
        </w:rPr>
        <w:t xml:space="preserve"> perovskite absorber layer</w:t>
      </w:r>
      <w:bookmarkEnd w:id="2"/>
      <w:r w:rsidRPr="00DC43A2">
        <w:rPr>
          <w:b w:val="0"/>
          <w:bCs w:val="0"/>
        </w:rPr>
        <w:t xml:space="preserve"> deposited onto the various underlying</w:t>
      </w:r>
      <w:r w:rsidR="00B70429" w:rsidRPr="00DC43A2">
        <w:rPr>
          <w:b w:val="0"/>
          <w:bCs w:val="0"/>
        </w:rPr>
        <w:t xml:space="preserve"> </w:t>
      </w:r>
      <w:r w:rsidRPr="00DC43A2">
        <w:rPr>
          <w:b w:val="0"/>
          <w:bCs w:val="0"/>
        </w:rPr>
        <w:t>ETLs. Prominent peaks at 14.24, 28.60 and 32.01</w:t>
      </w:r>
      <w:r w:rsidRPr="00DC43A2">
        <w:rPr>
          <w:b w:val="0"/>
          <w:bCs w:val="0"/>
        </w:rPr>
        <w:sym w:font="Symbol" w:char="F0B0"/>
      </w:r>
      <w:r w:rsidRPr="00DC43A2">
        <w:rPr>
          <w:b w:val="0"/>
          <w:bCs w:val="0"/>
        </w:rPr>
        <w:t xml:space="preserve"> can be associated with the (110), (220) and (310) planes of Cs</w:t>
      </w:r>
      <w:r w:rsidRPr="00DC43A2">
        <w:rPr>
          <w:b w:val="0"/>
          <w:bCs w:val="0"/>
          <w:vertAlign w:val="subscript"/>
        </w:rPr>
        <w:t>0.1</w:t>
      </w:r>
      <w:r w:rsidRPr="00DC43A2">
        <w:rPr>
          <w:b w:val="0"/>
          <w:bCs w:val="0"/>
        </w:rPr>
        <w:t>MA</w:t>
      </w:r>
      <w:r w:rsidRPr="00DC43A2">
        <w:rPr>
          <w:b w:val="0"/>
          <w:bCs w:val="0"/>
          <w:vertAlign w:val="subscript"/>
        </w:rPr>
        <w:t>0.9</w:t>
      </w:r>
      <w:r w:rsidRPr="00DC43A2">
        <w:rPr>
          <w:b w:val="0"/>
          <w:bCs w:val="0"/>
        </w:rPr>
        <w:t>Pb(I</w:t>
      </w:r>
      <w:r w:rsidRPr="00DC43A2">
        <w:rPr>
          <w:b w:val="0"/>
          <w:bCs w:val="0"/>
          <w:vertAlign w:val="subscript"/>
        </w:rPr>
        <w:t>0.9</w:t>
      </w:r>
      <w:r w:rsidRPr="00DC43A2">
        <w:rPr>
          <w:b w:val="0"/>
          <w:bCs w:val="0"/>
        </w:rPr>
        <w:t>Br</w:t>
      </w:r>
      <w:r w:rsidRPr="00DC43A2">
        <w:rPr>
          <w:b w:val="0"/>
          <w:bCs w:val="0"/>
          <w:vertAlign w:val="subscript"/>
        </w:rPr>
        <w:t>0.1</w:t>
      </w:r>
      <w:r w:rsidRPr="00DC43A2">
        <w:rPr>
          <w:b w:val="0"/>
          <w:bCs w:val="0"/>
        </w:rPr>
        <w:t>)</w:t>
      </w:r>
      <w:r w:rsidRPr="00DC43A2">
        <w:rPr>
          <w:b w:val="0"/>
          <w:bCs w:val="0"/>
          <w:vertAlign w:val="subscript"/>
        </w:rPr>
        <w:t>3</w:t>
      </w:r>
      <w:r w:rsidRPr="00DC43A2">
        <w:rPr>
          <w:b w:val="0"/>
          <w:bCs w:val="0"/>
        </w:rPr>
        <w:t>, respectively, meanwhile less intense peaks correspond to (112), (211), (202), (312), (224), (314) and (404) planes, signifying the development of perovskite phase with excellent crystallinity.</w:t>
      </w:r>
      <w:r w:rsidR="00F76B01">
        <w:rPr>
          <w:b w:val="0"/>
          <w:bCs w:val="0"/>
          <w:vertAlign w:val="superscript"/>
        </w:rPr>
        <w:t>[</w:t>
      </w:r>
      <w:r w:rsidRPr="00DC43A2">
        <w:rPr>
          <w:b w:val="0"/>
          <w:bCs w:val="0"/>
        </w:rPr>
        <w:fldChar w:fldCharType="begin" w:fldLock="1"/>
      </w:r>
      <w:r w:rsidRPr="00DC43A2">
        <w:rPr>
          <w:b w:val="0"/>
          <w:bCs w:val="0"/>
        </w:rPr>
        <w:instrText>ADDIN CSL_CITATION {"citationItems":[{"id":"ITEM-1","itemData":{"DOI":"10.1016/j.nanoen.2014.04.017","ISSN":"22112855","abstract":"We demonstrate cesium-doping in methylammonium lead iodide perovskites (CsxMA1-xPbI3) light absorbers to improve the performance of inverted-type perovskite/fullerene planar heterojunction hybrid solar cells. CsxMA1-xPbI3 perovskite devices with an optimized 10% Cs doping concentration exhibit remarkable improvement in device efficiency from 5.51% to 7.68% due to increases in short-circuit current density and open-circuit voltage via increased light absorption at optimum device thickness, improved film morphology and a widening of the energy difference between the valence band of the perovskite and lowest unoccupied molecular orbital level of PCBM. © 2014 Elsevier Ltd.","author":[{"dropping-particle":"","family":"Choi","given":"Hyosung","non-dropping-particle":"","parse-names":false,"suffix":""},{"dropping-particle":"","family":"Jeong","given":"Jaeki","non-dropping-particle":"","parse-names":false,"suffix":""},{"dropping-particle":"","family":"Kim","given":"Hak Beom","non-dropping-particle":"","parse-names":false,"suffix":""},{"dropping-particle":"","family":"Kim","given":"Seongbeom","non-dropping-particle":"","parse-names":false,"suffix":""},{"dropping-particle":"","family":"Walker","given":"Bright","non-dropping-particle":"","parse-names":false,"suffix":""},{"dropping-particle":"","family":"Kim","given":"Gi Hwan","non-dropping-particle":"","parse-names":false,"suffix":""},{"dropping-particle":"","family":"Kim","given":"Jin Young","non-dropping-particle":"","parse-names":false,"suffix":""}],"container-title":"Nano Energy","id":"ITEM-1","issued":{"date-parts":[["2014"]]},"page":"80-85","publisher":"Elsevier","title":"Cesium-doped methylammonium lead iodide perovskite light absorber for hybrid solar cells","type":"article-journal","volume":"7"},"uris":["http://www.mendeley.com/documents/?uuid=eea3e437-dd5d-439e-a1a5-148c37e282b4"]}],"mendeley":{"formattedCitation":"&lt;sup&gt;25&lt;/sup&gt;","plainTextFormattedCitation":"25","previouslyFormattedCitation":"&lt;sup&gt;25&lt;/sup&gt;"},"properties":{"noteIndex":0},"schema":"https://github.com/citation-style-language/schema/raw/master/csl-citation.json"}</w:instrText>
      </w:r>
      <w:r w:rsidRPr="00DC43A2">
        <w:rPr>
          <w:b w:val="0"/>
          <w:bCs w:val="0"/>
        </w:rPr>
        <w:fldChar w:fldCharType="separate"/>
      </w:r>
      <w:r w:rsidRPr="00DC43A2">
        <w:rPr>
          <w:b w:val="0"/>
          <w:bCs w:val="0"/>
          <w:vertAlign w:val="superscript"/>
        </w:rPr>
        <w:t>25</w:t>
      </w:r>
      <w:r w:rsidRPr="00DC43A2">
        <w:rPr>
          <w:b w:val="0"/>
          <w:bCs w:val="0"/>
        </w:rPr>
        <w:fldChar w:fldCharType="end"/>
      </w:r>
      <w:r w:rsidR="00F76B01">
        <w:rPr>
          <w:b w:val="0"/>
          <w:bCs w:val="0"/>
          <w:vertAlign w:val="superscript"/>
        </w:rPr>
        <w:t>]</w:t>
      </w:r>
      <w:r w:rsidRPr="00DC43A2">
        <w:rPr>
          <w:b w:val="0"/>
          <w:bCs w:val="0"/>
        </w:rPr>
        <w:t xml:space="preserve"> The absence of the (001) plane for PbI</w:t>
      </w:r>
      <w:r w:rsidRPr="00DC43A2">
        <w:rPr>
          <w:b w:val="0"/>
          <w:bCs w:val="0"/>
          <w:vertAlign w:val="subscript"/>
        </w:rPr>
        <w:t>2</w:t>
      </w:r>
      <w:r w:rsidRPr="00DC43A2">
        <w:rPr>
          <w:b w:val="0"/>
          <w:bCs w:val="0"/>
        </w:rPr>
        <w:t xml:space="preserve"> at 12.56</w:t>
      </w:r>
      <w:r w:rsidRPr="00DC43A2">
        <w:rPr>
          <w:b w:val="0"/>
          <w:bCs w:val="0"/>
        </w:rPr>
        <w:sym w:font="Symbol" w:char="F0B0"/>
      </w:r>
      <w:r w:rsidRPr="00DC43A2">
        <w:rPr>
          <w:b w:val="0"/>
          <w:bCs w:val="0"/>
        </w:rPr>
        <w:t xml:space="preserve"> indicates that the PbI</w:t>
      </w:r>
      <w:r w:rsidRPr="00DC43A2">
        <w:rPr>
          <w:b w:val="0"/>
          <w:bCs w:val="0"/>
          <w:vertAlign w:val="subscript"/>
        </w:rPr>
        <w:t>2</w:t>
      </w:r>
      <w:r w:rsidRPr="00DC43A2">
        <w:rPr>
          <w:b w:val="0"/>
          <w:bCs w:val="0"/>
        </w:rPr>
        <w:t xml:space="preserve"> had totally dissolved and transformed into the perovskite.</w:t>
      </w:r>
      <w:r w:rsidR="00F76B01">
        <w:rPr>
          <w:b w:val="0"/>
          <w:bCs w:val="0"/>
          <w:vertAlign w:val="superscript"/>
        </w:rPr>
        <w:t>[</w:t>
      </w:r>
      <w:r w:rsidRPr="00DC43A2">
        <w:rPr>
          <w:b w:val="0"/>
          <w:bCs w:val="0"/>
        </w:rPr>
        <w:fldChar w:fldCharType="begin" w:fldLock="1"/>
      </w:r>
      <w:r w:rsidRPr="00DC43A2">
        <w:rPr>
          <w:b w:val="0"/>
          <w:bCs w:val="0"/>
        </w:rPr>
        <w:instrText>ADDIN CSL_CITATION {"citationItems":[{"id":"ITEM-1","itemData":{"DOI":"10.1002/adma.201905035","ISSN":"15214095","PMID":"32104961","abstract":"Excess/unreacted lead iodide (PbI2) has been commonly used in perovskite films for the state-of-the-art solar cell applications. However, an understanding of intrinsic degradation mechanisms of perovskite solar cells (PSCs) containing unreacted PbI2 has been still insufficient and, therefore, needs to be clarified for better operational durability. Here, it is shown that degradation of PSCs is hastened by unreacted PbI2 crystals under continuous light illumination. Unreacted PbI2 undergoes photodecomposition under illumination, resulting in the formation of lead and iodine in films. Thus, this photodecomposition of PbI2 is one of the main reasons for accelerated device degradation. Therefore, this work reveals that carefully controlling the formation of unreacted PbI2 crystals in perovskite films is very important to improve device operational stability for diverse opto-electronic applications in the future.","author":[{"dropping-particle":"","family":"Tumen-Ulzii","given":"Ganbaatar","non-dropping-particle":"","parse-names":false,"suffix":""},{"dropping-particle":"","family":"Qin","given":"Chuanjiang","non-dropping-particle":"","parse-names":false,"suffix":""},{"dropping-particle":"","family":"Klotz","given":"Dino","non-dropping-particle":"","parse-names":false,"suffix":""},{"dropping-particle":"","family":"Leyden","given":"Matthew R.","non-dropping-particle":"","parse-names":false,"suffix":""},{"dropping-particle":"","family":"Wang","given":"Pangpang","non-dropping-particle":"","parse-names":false,"suffix":""},{"dropping-particle":"","family":"Auffray","given":"Morgan","non-dropping-particle":"","parse-names":false,"suffix":""},{"dropping-particle":"","family":"Fujihara","given":"Takashi","non-dropping-particle":"","parse-names":false,"suffix":""},{"dropping-particle":"","family":"Matsushima","given":"Toshinori","non-dropping-particle":"","parse-names":false,"suffix":""},{"dropping-particle":"","family":"Lee","given":"Jin Wook","non-dropping-particle":"","parse-names":false,"suffix":""},{"dropping-particle":"","family":"Lee","given":"Sung Joon","non-dropping-particle":"","parse-names":false,"suffix":""},{"dropping-particle":"","family":"Yang","given":"Yang","non-dropping-particle":"","parse-names":false,"suffix":""},{"dropping-particle":"","family":"Adachi","given":"Chihaya","non-dropping-particle":"","parse-names":false,"suffix":""}],"container-title":"Advanced Materials","id":"ITEM-1","issue":"16","issued":{"date-parts":[["2020"]]},"page":"1-7","title":"Detrimental Effect of Unreacted PbI2 on the Long-Term Stability of Perovskite Solar Cells","type":"article-journal","volume":"32"},"uris":["http://www.mendeley.com/documents/?uuid=12401d44-29c7-4aee-82a7-f5fe18e5902f"]}],"mendeley":{"formattedCitation":"&lt;sup&gt;26&lt;/sup&gt;","plainTextFormattedCitation":"26","previouslyFormattedCitation":"&lt;sup&gt;26&lt;/sup&gt;"},"properties":{"noteIndex":0},"schema":"https://github.com/citation-style-language/schema/raw/master/csl-citation.json"}</w:instrText>
      </w:r>
      <w:r w:rsidRPr="00DC43A2">
        <w:rPr>
          <w:b w:val="0"/>
          <w:bCs w:val="0"/>
        </w:rPr>
        <w:fldChar w:fldCharType="separate"/>
      </w:r>
      <w:r w:rsidRPr="00DC43A2">
        <w:rPr>
          <w:b w:val="0"/>
          <w:bCs w:val="0"/>
          <w:vertAlign w:val="superscript"/>
        </w:rPr>
        <w:t>26</w:t>
      </w:r>
      <w:r w:rsidRPr="00DC43A2">
        <w:rPr>
          <w:b w:val="0"/>
          <w:bCs w:val="0"/>
        </w:rPr>
        <w:fldChar w:fldCharType="end"/>
      </w:r>
      <w:r w:rsidR="00F76B01">
        <w:rPr>
          <w:b w:val="0"/>
          <w:bCs w:val="0"/>
          <w:vertAlign w:val="superscript"/>
        </w:rPr>
        <w:t>]</w:t>
      </w:r>
    </w:p>
    <w:p w14:paraId="5C38A4B8" w14:textId="27C382E9" w:rsidR="00B453F9" w:rsidRPr="00F76B01" w:rsidRDefault="00B453F9" w:rsidP="00DC43A2">
      <w:pPr>
        <w:pStyle w:val="Head1"/>
        <w:rPr>
          <w:vertAlign w:val="superscript"/>
        </w:rPr>
      </w:pPr>
      <w:r w:rsidRPr="00DC43A2">
        <w:rPr>
          <w:b w:val="0"/>
          <w:bCs w:val="0"/>
        </w:rPr>
        <w:lastRenderedPageBreak/>
        <w:t>The mean crystallite size (</w:t>
      </w:r>
      <w:r w:rsidRPr="00DC43A2">
        <w:rPr>
          <w:b w:val="0"/>
          <w:bCs w:val="0"/>
          <w:i/>
        </w:rPr>
        <w:t>D</w:t>
      </w:r>
      <w:r w:rsidRPr="00DC43A2">
        <w:rPr>
          <w:b w:val="0"/>
          <w:bCs w:val="0"/>
        </w:rPr>
        <w:t>) values related to the more intense peaks at (110) and (220) were determined for perovskite layer deposited on FTO as well as on ternary metal oxide ETLs employing the widely recognized Debye-Scherrer’s equation:</w:t>
      </w:r>
      <w:r w:rsidR="00F76B01">
        <w:rPr>
          <w:b w:val="0"/>
          <w:bCs w:val="0"/>
          <w:vertAlign w:val="superscript"/>
        </w:rPr>
        <w:t>[</w:t>
      </w:r>
      <w:r w:rsidRPr="00DC43A2">
        <w:rPr>
          <w:b w:val="0"/>
          <w:bCs w:val="0"/>
        </w:rPr>
        <w:fldChar w:fldCharType="begin" w:fldLock="1"/>
      </w:r>
      <w:r w:rsidRPr="00DC43A2">
        <w:rPr>
          <w:b w:val="0"/>
          <w:bCs w:val="0"/>
        </w:rPr>
        <w:instrText>ADDIN CSL_CITATION {"citationItems":[{"id":"ITEM-1","itemData":{"DOI":"10.1016/j.sbsr.2016.11.001","ISSN":"22141804","abstract":"The present work is a study of tin dioxide (SnO2) based thin sensitive layer dedicated to organic vapors detection at ambient temperature. SnO2 thin film was deposited by chemical spray pyrolysis technique. The glass substrate temperature was kept to 400 °C, using a starting solution of 0.1 M tin (II) dichloride dihydrate (SnCl2, 2H2O). Films structural and morphological properties were characterized using X-ray diffraction (XRD), scanning electron microscopy (SEM) and atomic force microscope (AFM) respectively. Films optical characteristics were studied using UV-VIS spectrophotometer. XRD revealed the presence of pure SnO2 polycrystalline thin film with a tetragonal rutile structure. The SEM and AFM observations confirmed the granular morphology with presence of pores in the film surface. The prepared film was tested in various organic vapors (ethanol, methanol and acetone) at ambient operating temperature (25 °C ± 2 °C). The obtained results suggested that SnO2 is more sensitive to ethanol vapor with a maximum sensitivity of 35% higher than to methanol and acetone vapors (1% and 3%). The realized SnO2 based sensor demonstrated fast response and recovery times as revealed by the values of 2 s to 3 s towards 47 ppm of ethanol vapor.","author":[{"dropping-particle":"","family":"Touidjen","given":"N. H.","non-dropping-particle":"","parse-names":false,"suffix":""},{"dropping-particle":"","family":"Bendahmane","given":"B.","non-dropping-particle":"","parse-names":false,"suffix":""},{"dropping-particle":"","family":"Zeggar","given":"M. Lamri","non-dropping-particle":"","parse-names":false,"suffix":""},{"dropping-particle":"","family":"Mansour","given":"F.","non-dropping-particle":"","parse-names":false,"suffix":""},{"dropping-particle":"","family":"Aida","given":"M. S.","non-dropping-particle":"","parse-names":false,"suffix":""}],"container-title":"Sensing and Bio-Sensing Research","id":"ITEM-1","issued":{"date-parts":[["2016"]]},"page":"52-57","title":"SnO2 thin film synthesis for organic vapors sensing at ambient temperature","type":"article-journal","volume":"11"},"uris":["http://www.mendeley.com/documents/?uuid=14510db8-9aec-4aa8-85e9-19bcc4e0f6c0"]}],"mendeley":{"formattedCitation":"&lt;sup&gt;27&lt;/sup&gt;","plainTextFormattedCitation":"27","previouslyFormattedCitation":"&lt;sup&gt;27&lt;/sup&gt;"},"properties":{"noteIndex":0},"schema":"https://github.com/citation-style-language/schema/raw/master/csl-citation.json"}</w:instrText>
      </w:r>
      <w:r w:rsidRPr="00DC43A2">
        <w:rPr>
          <w:b w:val="0"/>
          <w:bCs w:val="0"/>
        </w:rPr>
        <w:fldChar w:fldCharType="separate"/>
      </w:r>
      <w:r w:rsidRPr="00DC43A2">
        <w:rPr>
          <w:b w:val="0"/>
          <w:bCs w:val="0"/>
          <w:vertAlign w:val="superscript"/>
        </w:rPr>
        <w:t>27</w:t>
      </w:r>
      <w:r w:rsidRPr="00DC43A2">
        <w:rPr>
          <w:b w:val="0"/>
          <w:bCs w:val="0"/>
        </w:rPr>
        <w:fldChar w:fldCharType="end"/>
      </w:r>
      <w:r w:rsidR="00F76B01">
        <w:rPr>
          <w:b w:val="0"/>
          <w:bCs w:val="0"/>
          <w:vertAlign w:val="superscript"/>
        </w:rPr>
        <w:t>]</w:t>
      </w:r>
    </w:p>
    <w:tbl>
      <w:tblPr>
        <w:tblW w:w="7859" w:type="dxa"/>
        <w:jc w:val="center"/>
        <w:tblCellMar>
          <w:left w:w="0" w:type="dxa"/>
          <w:right w:w="0" w:type="dxa"/>
        </w:tblCellMar>
        <w:tblLook w:val="04A0" w:firstRow="1" w:lastRow="0" w:firstColumn="1" w:lastColumn="0" w:noHBand="0" w:noVBand="1"/>
      </w:tblPr>
      <w:tblGrid>
        <w:gridCol w:w="6859"/>
        <w:gridCol w:w="1000"/>
      </w:tblGrid>
      <w:tr w:rsidR="00E92C2A" w:rsidRPr="00E92C2A" w14:paraId="0D5ACAA3" w14:textId="77777777" w:rsidTr="005E15DE">
        <w:trPr>
          <w:jc w:val="center"/>
        </w:trPr>
        <w:tc>
          <w:tcPr>
            <w:tcW w:w="7428" w:type="dxa"/>
          </w:tcPr>
          <w:p w14:paraId="0E5CA19A" w14:textId="77777777" w:rsidR="00E92C2A" w:rsidRPr="00E92C2A" w:rsidRDefault="00E92C2A" w:rsidP="00E92C2A">
            <w:pPr>
              <w:spacing w:line="360" w:lineRule="auto"/>
              <w:ind w:firstLine="720"/>
              <w:jc w:val="both"/>
              <w:rPr>
                <w:rFonts w:eastAsiaTheme="minorHAnsi"/>
                <w:iCs/>
                <w:kern w:val="2"/>
                <w:lang w:val="en-US" w:eastAsia="en-US" w:bidi="en-US"/>
                <w14:ligatures w14:val="standardContextual"/>
              </w:rPr>
            </w:pPr>
            <m:oMathPara>
              <m:oMath>
                <m:r>
                  <w:rPr>
                    <w:rFonts w:ascii="Cambria Math" w:eastAsiaTheme="minorHAnsi" w:hAnsi="Cambria Math"/>
                    <w:kern w:val="2"/>
                    <w:lang w:val="en-US" w:eastAsia="en-US" w:bidi="en-US"/>
                    <w14:ligatures w14:val="standardContextual"/>
                  </w:rPr>
                  <m:t>D</m:t>
                </m:r>
                <m:r>
                  <m:rPr>
                    <m:sty m:val="p"/>
                  </m:rPr>
                  <w:rPr>
                    <w:rFonts w:ascii="Cambria Math" w:eastAsiaTheme="minorHAnsi" w:hAnsi="Cambria Math"/>
                    <w:kern w:val="2"/>
                    <w:lang w:val="en-US" w:eastAsia="en-US" w:bidi="en-US"/>
                    <w14:ligatures w14:val="standardContextual"/>
                  </w:rPr>
                  <m:t>=</m:t>
                </m:r>
                <m:f>
                  <m:fPr>
                    <m:ctrlPr>
                      <w:rPr>
                        <w:rFonts w:ascii="Cambria Math" w:eastAsiaTheme="minorHAnsi" w:hAnsi="Cambria Math"/>
                        <w:iCs/>
                        <w:kern w:val="2"/>
                        <w:lang w:val="en-US" w:eastAsia="en-US" w:bidi="en-US"/>
                        <w14:ligatures w14:val="standardContextual"/>
                      </w:rPr>
                    </m:ctrlPr>
                  </m:fPr>
                  <m:num>
                    <m:r>
                      <m:rPr>
                        <m:sty m:val="p"/>
                      </m:rPr>
                      <w:rPr>
                        <w:rFonts w:ascii="Cambria Math" w:eastAsiaTheme="minorHAnsi" w:hAnsi="Cambria Math"/>
                        <w:kern w:val="2"/>
                        <w:lang w:val="en-US" w:eastAsia="en-US" w:bidi="en-US"/>
                        <w14:ligatures w14:val="standardContextual"/>
                      </w:rPr>
                      <m:t>0.9</m:t>
                    </m:r>
                    <m:r>
                      <w:rPr>
                        <w:rFonts w:ascii="Cambria Math" w:eastAsiaTheme="minorHAnsi" w:hAnsi="Cambria Math"/>
                        <w:i/>
                        <w:iCs/>
                        <w:kern w:val="2"/>
                        <w:lang w:val="en-US" w:eastAsia="en-US" w:bidi="en-US"/>
                        <w14:ligatures w14:val="standardContextual"/>
                      </w:rPr>
                      <w:sym w:font="Symbol" w:char="F06C"/>
                    </m:r>
                  </m:num>
                  <m:den>
                    <m:r>
                      <w:rPr>
                        <w:rFonts w:ascii="Cambria Math" w:eastAsiaTheme="minorHAnsi" w:hAnsi="Cambria Math"/>
                        <w:i/>
                        <w:iCs/>
                        <w:kern w:val="2"/>
                        <w:lang w:val="en-US" w:eastAsia="en-US" w:bidi="en-US"/>
                        <w14:ligatures w14:val="standardContextual"/>
                      </w:rPr>
                      <w:sym w:font="Symbol" w:char="F062"/>
                    </m:r>
                    <m:r>
                      <m:rPr>
                        <m:sty m:val="p"/>
                      </m:rPr>
                      <w:rPr>
                        <w:rFonts w:ascii="Cambria Math" w:eastAsiaTheme="minorHAnsi" w:hAnsi="Cambria Math"/>
                        <w:kern w:val="2"/>
                        <w:lang w:val="en-US" w:eastAsia="en-US" w:bidi="en-US"/>
                        <w14:ligatures w14:val="standardContextual"/>
                      </w:rPr>
                      <m:t>cos</m:t>
                    </m:r>
                    <m:r>
                      <w:rPr>
                        <w:rFonts w:ascii="Cambria Math" w:eastAsiaTheme="minorHAnsi" w:hAnsi="Cambria Math"/>
                        <w:i/>
                        <w:iCs/>
                        <w:kern w:val="2"/>
                        <w:lang w:val="en-US" w:eastAsia="en-US" w:bidi="en-US"/>
                        <w14:ligatures w14:val="standardContextual"/>
                      </w:rPr>
                      <w:sym w:font="Symbol" w:char="F071"/>
                    </m:r>
                  </m:den>
                </m:f>
              </m:oMath>
            </m:oMathPara>
          </w:p>
        </w:tc>
        <w:tc>
          <w:tcPr>
            <w:tcW w:w="431" w:type="dxa"/>
            <w:vAlign w:val="center"/>
          </w:tcPr>
          <w:p w14:paraId="12B037D6" w14:textId="77777777" w:rsidR="00E92C2A" w:rsidRPr="00E92C2A" w:rsidRDefault="00E92C2A" w:rsidP="00E92C2A">
            <w:pPr>
              <w:spacing w:line="360" w:lineRule="auto"/>
              <w:ind w:firstLine="720"/>
              <w:jc w:val="both"/>
              <w:rPr>
                <w:rFonts w:eastAsiaTheme="minorHAnsi"/>
                <w:kern w:val="2"/>
                <w:lang w:val="en-US" w:eastAsia="en-US" w:bidi="en-US"/>
                <w14:ligatures w14:val="standardContextual"/>
              </w:rPr>
            </w:pPr>
            <w:r w:rsidRPr="00E92C2A">
              <w:rPr>
                <w:rFonts w:eastAsiaTheme="minorHAnsi"/>
                <w:kern w:val="2"/>
                <w:lang w:val="en-US" w:eastAsia="en-US" w:bidi="en-US"/>
                <w14:ligatures w14:val="standardContextual"/>
              </w:rPr>
              <w:t>(1)</w:t>
            </w:r>
          </w:p>
        </w:tc>
      </w:tr>
    </w:tbl>
    <w:p w14:paraId="4BE0419D" w14:textId="1BCE1D9B" w:rsidR="00C31D03" w:rsidRPr="00F76B01" w:rsidRDefault="00E92C2A" w:rsidP="00DC43A2">
      <w:pPr>
        <w:pStyle w:val="Head1"/>
        <w:rPr>
          <w:vertAlign w:val="superscript"/>
        </w:rPr>
      </w:pPr>
      <w:r w:rsidRPr="00DC43A2">
        <w:rPr>
          <w:b w:val="0"/>
          <w:bCs w:val="0"/>
        </w:rPr>
        <w:t xml:space="preserve">where </w:t>
      </w:r>
      <m:oMath>
        <m:r>
          <w:rPr>
            <w:rFonts w:ascii="Cambria Math" w:hAnsi="Cambria Math"/>
            <w:b w:val="0"/>
            <w:bCs w:val="0"/>
            <w:i/>
            <w:iCs/>
          </w:rPr>
          <w:sym w:font="Symbol" w:char="F06C"/>
        </m:r>
      </m:oMath>
      <w:r w:rsidRPr="00DC43A2">
        <w:rPr>
          <w:b w:val="0"/>
          <w:bCs w:val="0"/>
        </w:rPr>
        <w:t xml:space="preserve"> denotes the X-rays wavelength, </w:t>
      </w:r>
      <m:oMath>
        <m:r>
          <w:rPr>
            <w:rFonts w:ascii="Cambria Math" w:hAnsi="Cambria Math"/>
            <w:b w:val="0"/>
            <w:bCs w:val="0"/>
            <w:i/>
            <w:iCs/>
          </w:rPr>
          <w:sym w:font="Symbol" w:char="F062"/>
        </m:r>
      </m:oMath>
      <w:r w:rsidRPr="00DC43A2">
        <w:rPr>
          <w:b w:val="0"/>
          <w:bCs w:val="0"/>
        </w:rPr>
        <w:t xml:space="preserve"> signifies the full-width at half maximum (FWHM) in radians and </w:t>
      </w:r>
      <m:oMath>
        <m:r>
          <w:rPr>
            <w:rFonts w:ascii="Cambria Math" w:hAnsi="Cambria Math"/>
            <w:b w:val="0"/>
            <w:bCs w:val="0"/>
            <w:i/>
            <w:iCs/>
          </w:rPr>
          <w:sym w:font="Symbol" w:char="F071"/>
        </m:r>
      </m:oMath>
      <w:r w:rsidRPr="00DC43A2">
        <w:rPr>
          <w:b w:val="0"/>
          <w:bCs w:val="0"/>
        </w:rPr>
        <w:t xml:space="preserve"> corresponds to the Bragg’s angle. The dislocation density (</w:t>
      </w:r>
      <w:r w:rsidRPr="00DC43A2">
        <w:rPr>
          <w:b w:val="0"/>
          <w:bCs w:val="0"/>
          <w:i/>
        </w:rPr>
        <w:sym w:font="Symbol" w:char="F064"/>
      </w:r>
      <w:r w:rsidRPr="00DC43A2">
        <w:rPr>
          <w:b w:val="0"/>
          <w:bCs w:val="0"/>
        </w:rPr>
        <w:t>), which can be characterized as the measure of length of dislocation lines within a given volume unit, was also determined for both (110) and (220) peaks using the crystallite size (</w:t>
      </w:r>
      <w:r w:rsidRPr="00DC43A2">
        <w:rPr>
          <w:b w:val="0"/>
          <w:bCs w:val="0"/>
          <w:i/>
        </w:rPr>
        <w:t>D</w:t>
      </w:r>
      <w:r w:rsidRPr="00DC43A2">
        <w:rPr>
          <w:b w:val="0"/>
          <w:bCs w:val="0"/>
        </w:rPr>
        <w:t>) by means of the following equation:</w:t>
      </w:r>
      <w:r w:rsidR="00F76B01">
        <w:rPr>
          <w:b w:val="0"/>
          <w:bCs w:val="0"/>
          <w:vertAlign w:val="superscript"/>
        </w:rPr>
        <w:t>[</w:t>
      </w:r>
      <w:r w:rsidRPr="00DC43A2">
        <w:rPr>
          <w:b w:val="0"/>
          <w:bCs w:val="0"/>
        </w:rPr>
        <w:fldChar w:fldCharType="begin" w:fldLock="1"/>
      </w:r>
      <w:r w:rsidRPr="00DC43A2">
        <w:rPr>
          <w:b w:val="0"/>
          <w:bCs w:val="0"/>
        </w:rPr>
        <w:instrText>ADDIN CSL_CITATION {"citationItems":[{"id":"ITEM-1","itemData":{"DOI":"10.1016/j.spmi.2014.02.009","ISSN":"10963677","abstract":"Tin oxide thin films doped with different Mo content were successfully grown by spray pyrolysis and they were characterized as a function of Mo content, changed from 0 to 3.5 at.% with 0.5 at.% step. The XRD studies showed that the films had SnO2 cassiterite structure with (2 1 1) preferential orientation and the best crystal properties was observed for 2 at.% Mo doped sample. The SEM images indicated the films were made up of nanosized grains and it was observed pyramidal, polyhedron shaped grains on the deposited films' surfaces. From electrical and optical studies, although 2 at.% Mo doped SnO2 film exhibited the lowest sheet resistance (39.81) and the highest IR reflective (81.77%), 1 at.% Mo doped film has the highest optical band gap (4.011 eV). The lowest Urbach energy (293 meV) and the highest figure of merit (1.80 × 10-3-1) values were observed for 0.5 at.% Mo doped sample between all films. The results found in present study showed that Mo doped SnO2 thin films is a good candidate for solar cells, IR coating and other optoelectronic and technological applications. © 2014 Elsevier Ltd. All rights reserved.","author":[{"dropping-particle":"","family":"Turgut","given":"Güven","non-dropping-particle":"","parse-names":false,"suffix":""},{"dropping-particle":"","family":"Sönmez","given":"Erdal","non-dropping-particle":"","parse-names":false,"suffix":""}],"container-title":"Superlattices and Microstructures","id":"ITEM-1","issued":{"date-parts":[["2014"]]},"page":"175-186","title":"Synthesis and characterization of Mo doped SnO2 thin films with spray pyrolysis","type":"article-journal","volume":"69"},"uris":["http://www.mendeley.com/documents/?uuid=d8c89d56-f7ac-4d30-aab0-5a8019fc6f88"]}],"mendeley":{"formattedCitation":"&lt;sup&gt;28&lt;/sup&gt;","plainTextFormattedCitation":"28","previouslyFormattedCitation":"&lt;sup&gt;28&lt;/sup&gt;"},"properties":{"noteIndex":0},"schema":"https://github.com/citation-style-language/schema/raw/master/csl-citation.json"}</w:instrText>
      </w:r>
      <w:r w:rsidRPr="00DC43A2">
        <w:rPr>
          <w:b w:val="0"/>
          <w:bCs w:val="0"/>
        </w:rPr>
        <w:fldChar w:fldCharType="separate"/>
      </w:r>
      <w:r w:rsidRPr="00DC43A2">
        <w:rPr>
          <w:b w:val="0"/>
          <w:bCs w:val="0"/>
          <w:vertAlign w:val="superscript"/>
        </w:rPr>
        <w:t>28</w:t>
      </w:r>
      <w:r w:rsidRPr="00DC43A2">
        <w:rPr>
          <w:b w:val="0"/>
          <w:bCs w:val="0"/>
        </w:rPr>
        <w:fldChar w:fldCharType="end"/>
      </w:r>
      <w:r w:rsidR="00F76B01">
        <w:rPr>
          <w:b w:val="0"/>
          <w:bCs w:val="0"/>
          <w:vertAlign w:val="superscript"/>
        </w:rPr>
        <w:t>]</w:t>
      </w:r>
    </w:p>
    <w:tbl>
      <w:tblPr>
        <w:tblW w:w="7859" w:type="dxa"/>
        <w:jc w:val="center"/>
        <w:tblCellMar>
          <w:left w:w="0" w:type="dxa"/>
          <w:right w:w="0" w:type="dxa"/>
        </w:tblCellMar>
        <w:tblLook w:val="04A0" w:firstRow="1" w:lastRow="0" w:firstColumn="1" w:lastColumn="0" w:noHBand="0" w:noVBand="1"/>
      </w:tblPr>
      <w:tblGrid>
        <w:gridCol w:w="6859"/>
        <w:gridCol w:w="1000"/>
      </w:tblGrid>
      <w:tr w:rsidR="00C31D03" w:rsidRPr="00C31D03" w14:paraId="5280B8E6" w14:textId="77777777" w:rsidTr="00C31D03">
        <w:trPr>
          <w:jc w:val="center"/>
        </w:trPr>
        <w:tc>
          <w:tcPr>
            <w:tcW w:w="6859" w:type="dxa"/>
          </w:tcPr>
          <w:p w14:paraId="6D922DC6" w14:textId="77777777" w:rsidR="00C31D03" w:rsidRPr="00C31D03" w:rsidRDefault="00C31D03" w:rsidP="00C31D03">
            <w:pPr>
              <w:spacing w:line="360" w:lineRule="auto"/>
              <w:ind w:firstLine="720"/>
              <w:jc w:val="both"/>
              <w:rPr>
                <w:rFonts w:eastAsiaTheme="minorHAnsi"/>
                <w:iCs/>
                <w:kern w:val="2"/>
                <w:lang w:val="en-US" w:eastAsia="en-US" w:bidi="en-US"/>
                <w14:ligatures w14:val="standardContextual"/>
              </w:rPr>
            </w:pPr>
            <m:oMathPara>
              <m:oMath>
                <m:r>
                  <w:rPr>
                    <w:rFonts w:ascii="Cambria Math" w:eastAsiaTheme="minorHAnsi" w:hAnsi="Cambria Math"/>
                    <w:kern w:val="2"/>
                    <w:lang w:val="en-US" w:eastAsia="en-US" w:bidi="en-US"/>
                    <w14:ligatures w14:val="standardContextual"/>
                  </w:rPr>
                  <m:t>δ=</m:t>
                </m:r>
                <m:f>
                  <m:fPr>
                    <m:ctrlPr>
                      <w:rPr>
                        <w:rFonts w:ascii="Cambria Math" w:eastAsiaTheme="minorHAnsi" w:hAnsi="Cambria Math"/>
                        <w:i/>
                        <w:iCs/>
                        <w:kern w:val="2"/>
                        <w:lang w:val="en-US" w:eastAsia="en-US" w:bidi="en-US"/>
                        <w14:ligatures w14:val="standardContextual"/>
                      </w:rPr>
                    </m:ctrlPr>
                  </m:fPr>
                  <m:num>
                    <m:r>
                      <w:rPr>
                        <w:rFonts w:ascii="Cambria Math" w:eastAsiaTheme="minorHAnsi" w:hAnsi="Cambria Math"/>
                        <w:kern w:val="2"/>
                        <w:lang w:val="en-US" w:eastAsia="en-US" w:bidi="en-US"/>
                        <w14:ligatures w14:val="standardContextual"/>
                      </w:rPr>
                      <m:t>1</m:t>
                    </m:r>
                  </m:num>
                  <m:den>
                    <m:sSup>
                      <m:sSupPr>
                        <m:ctrlPr>
                          <w:rPr>
                            <w:rFonts w:ascii="Cambria Math" w:eastAsiaTheme="minorHAnsi" w:hAnsi="Cambria Math"/>
                            <w:i/>
                            <w:iCs/>
                            <w:kern w:val="2"/>
                            <w:lang w:val="en-US" w:eastAsia="en-US" w:bidi="en-US"/>
                            <w14:ligatures w14:val="standardContextual"/>
                          </w:rPr>
                        </m:ctrlPr>
                      </m:sSupPr>
                      <m:e>
                        <m:r>
                          <w:rPr>
                            <w:rFonts w:ascii="Cambria Math" w:eastAsiaTheme="minorHAnsi" w:hAnsi="Cambria Math"/>
                            <w:kern w:val="2"/>
                            <w:lang w:val="en-US" w:eastAsia="en-US" w:bidi="en-US"/>
                            <w14:ligatures w14:val="standardContextual"/>
                          </w:rPr>
                          <m:t>D</m:t>
                        </m:r>
                      </m:e>
                      <m:sup>
                        <m:r>
                          <w:rPr>
                            <w:rFonts w:ascii="Cambria Math" w:eastAsiaTheme="minorHAnsi" w:hAnsi="Cambria Math"/>
                            <w:kern w:val="2"/>
                            <w:lang w:val="en-US" w:eastAsia="en-US" w:bidi="en-US"/>
                            <w14:ligatures w14:val="standardContextual"/>
                          </w:rPr>
                          <m:t>2</m:t>
                        </m:r>
                      </m:sup>
                    </m:sSup>
                  </m:den>
                </m:f>
              </m:oMath>
            </m:oMathPara>
          </w:p>
        </w:tc>
        <w:tc>
          <w:tcPr>
            <w:tcW w:w="1000" w:type="dxa"/>
            <w:vAlign w:val="center"/>
          </w:tcPr>
          <w:p w14:paraId="1BF2F3D3" w14:textId="77777777" w:rsidR="00C31D03" w:rsidRPr="00C31D03" w:rsidRDefault="00C31D03" w:rsidP="00C31D03">
            <w:pPr>
              <w:spacing w:line="360" w:lineRule="auto"/>
              <w:ind w:firstLine="720"/>
              <w:jc w:val="both"/>
              <w:rPr>
                <w:rFonts w:eastAsiaTheme="minorHAnsi"/>
                <w:kern w:val="2"/>
                <w:lang w:val="en-US" w:eastAsia="en-US" w:bidi="en-US"/>
                <w14:ligatures w14:val="standardContextual"/>
              </w:rPr>
            </w:pPr>
            <w:r w:rsidRPr="00C31D03">
              <w:rPr>
                <w:rFonts w:eastAsiaTheme="minorHAnsi"/>
                <w:kern w:val="2"/>
                <w:lang w:val="en-US" w:eastAsia="en-US" w:bidi="en-US"/>
                <w14:ligatures w14:val="standardContextual"/>
              </w:rPr>
              <w:t>(2)</w:t>
            </w:r>
          </w:p>
        </w:tc>
      </w:tr>
    </w:tbl>
    <w:p w14:paraId="4EBA9877" w14:textId="1A66ADBF" w:rsidR="00C31D03" w:rsidRPr="00DC43A2" w:rsidRDefault="00C31D03" w:rsidP="00F628F1">
      <w:pPr>
        <w:pStyle w:val="Head1"/>
        <w:ind w:firstLine="709"/>
        <w:rPr>
          <w:b w:val="0"/>
          <w:bCs w:val="0"/>
        </w:rPr>
      </w:pPr>
      <w:r w:rsidRPr="00DC43A2">
        <w:rPr>
          <w:b w:val="0"/>
          <w:bCs w:val="0"/>
        </w:rPr>
        <w:t xml:space="preserve">The </w:t>
      </w:r>
      <w:r w:rsidRPr="00DC43A2">
        <w:rPr>
          <w:b w:val="0"/>
          <w:bCs w:val="0"/>
          <w:i/>
        </w:rPr>
        <w:t>D</w:t>
      </w:r>
      <w:r w:rsidRPr="00DC43A2">
        <w:rPr>
          <w:b w:val="0"/>
          <w:bCs w:val="0"/>
        </w:rPr>
        <w:t xml:space="preserve"> and </w:t>
      </w:r>
      <w:r w:rsidRPr="00DC43A2">
        <w:rPr>
          <w:b w:val="0"/>
          <w:bCs w:val="0"/>
          <w:i/>
        </w:rPr>
        <w:sym w:font="Symbol" w:char="F064"/>
      </w:r>
      <w:r w:rsidRPr="00DC43A2">
        <w:rPr>
          <w:b w:val="0"/>
          <w:bCs w:val="0"/>
          <w:i/>
        </w:rPr>
        <w:t xml:space="preserve"> </w:t>
      </w:r>
      <w:r w:rsidRPr="00DC43A2">
        <w:rPr>
          <w:b w:val="0"/>
          <w:bCs w:val="0"/>
        </w:rPr>
        <w:t xml:space="preserve">values of all the films, together with other crystallographic parameters, are summarized in </w:t>
      </w:r>
      <w:r w:rsidRPr="00DB4B47">
        <w:t xml:space="preserve">Table </w:t>
      </w:r>
      <w:r w:rsidR="004D1237">
        <w:t>1</w:t>
      </w:r>
      <w:r w:rsidRPr="00DC43A2">
        <w:rPr>
          <w:b w:val="0"/>
          <w:bCs w:val="0"/>
        </w:rPr>
        <w:t xml:space="preserve">. </w:t>
      </w:r>
    </w:p>
    <w:p w14:paraId="6777EF62" w14:textId="6988DEAD" w:rsidR="00C31D03" w:rsidRDefault="00C31D03" w:rsidP="00F628F1">
      <w:pPr>
        <w:pStyle w:val="Head1"/>
        <w:ind w:firstLine="709"/>
        <w:rPr>
          <w:b w:val="0"/>
          <w:bCs w:val="0"/>
          <w:vertAlign w:val="superscript"/>
        </w:rPr>
      </w:pPr>
      <w:bookmarkStart w:id="3" w:name="_Hlk172414800"/>
      <w:r w:rsidRPr="00F628F1">
        <w:rPr>
          <w:b w:val="0"/>
        </w:rPr>
        <w:t>Figure 1</w:t>
      </w:r>
      <w:r w:rsidRPr="00DC43A2">
        <w:rPr>
          <w:b w:val="0"/>
          <w:bCs w:val="0"/>
        </w:rPr>
        <w:t xml:space="preserve">c indicates a systematic increase in the crystallite size of perovskite films when deposited on ternary metal oxide ETLs, with the greatest increase occurring with bilayer ternary metal oxide ETL. It has been discovered that the dislocation density values for perovskite films formed on ternary metal oxide ETLs decreased considerably as presented in </w:t>
      </w:r>
      <w:r w:rsidRPr="00F628F1">
        <w:rPr>
          <w:b w:val="0"/>
        </w:rPr>
        <w:t>Fig</w:t>
      </w:r>
      <w:r w:rsidR="00DB4B47" w:rsidRPr="00F628F1">
        <w:rPr>
          <w:b w:val="0"/>
        </w:rPr>
        <w:t>ure</w:t>
      </w:r>
      <w:r w:rsidRPr="00F628F1">
        <w:rPr>
          <w:b w:val="0"/>
        </w:rPr>
        <w:t xml:space="preserve"> 1</w:t>
      </w:r>
      <w:r w:rsidRPr="00DC43A2">
        <w:rPr>
          <w:b w:val="0"/>
          <w:bCs w:val="0"/>
        </w:rPr>
        <w:t>d. This larger crystallite size with fewer voids and dislocation densities can improve charge carrier transport resulting in overall better performance of the PSCs.</w:t>
      </w:r>
      <w:r w:rsidR="00F76B01">
        <w:rPr>
          <w:b w:val="0"/>
          <w:bCs w:val="0"/>
          <w:vertAlign w:val="superscript"/>
        </w:rPr>
        <w:t>[</w:t>
      </w:r>
      <w:r w:rsidRPr="00DC43A2">
        <w:rPr>
          <w:b w:val="0"/>
          <w:bCs w:val="0"/>
        </w:rPr>
        <w:fldChar w:fldCharType="begin" w:fldLock="1"/>
      </w:r>
      <w:r w:rsidRPr="00DC43A2">
        <w:rPr>
          <w:b w:val="0"/>
          <w:bCs w:val="0"/>
        </w:rPr>
        <w:instrText>ADDIN CSL_CITATION {"citationItems":[{"id":"ITEM-1","itemData":{"DOI":"10.1016/j.joule.2018.10.003","ISSN":"25424351","abstract":"Organic-inorganic halide perovskites are promising semiconductors to mate with silicon in tandem photovoltaic cells due to their solution processability and tunable complementary bandgaps. Herein, we show that a combination of two additives, MACl and MAH 2 PO 2 , in the perovskite precursor can significantly improve the grain morphology of wide-bandgap (1.64–1.70 eV) perovskite films, resulting in solar cells with increased photocurrent while reducing the open-circuit voltage deficit to 0.49–0.51 V. The addition of MACl enlarges the grain size, while MAH 2 PO 2 reduces non-radiative recombination through passivation of the perovskite grain boundaries, with good synergy of functions from MACl and MAH 2 PO 2 . Matching the photocurrent between the two sub-cells in a perovskite/silicon monolithic tandem solar cell by using a bandgap of 1.64 eV for the top cell results in a high tandem V oc of 1.80 V and improved power conversion efficiency of 25.4%.","author":[{"dropping-particle":"","family":"Chen","given":"Bo","non-dropping-particle":"","parse-names":false,"suffix":""},{"dropping-particle":"","family":"Yu","given":"Zhengshan","non-dropping-particle":"","parse-names":false,"suffix":""},{"dropping-particle":"","family":"Liu","given":"Kong","non-dropping-particle":"","parse-names":false,"suffix":""},{"dropping-particle":"","family":"Zheng","given":"Xiaopeng","non-dropping-particle":"","parse-names":false,"suffix":""},{"dropping-particle":"","family":"Liu","given":"Ye","non-dropping-particle":"","parse-names":false,"suffix":""},{"dropping-particle":"","family":"Shi","given":"Jianwei","non-dropping-particle":"","parse-names":false,"suffix":""},{"dropping-particle":"","family":"Spronk","given":"Derrek","non-dropping-particle":"","parse-names":false,"suffix":""},{"dropping-particle":"","family":"Rudd","given":"Peter N.","non-dropping-particle":"","parse-names":false,"suffix":""},{"dropping-particle":"","family":"Holman","given":"Zachary","non-dropping-particle":"","parse-names":false,"suffix":""},{"dropping-particle":"","family":"Huang","given":"Jinsong","non-dropping-particle":"","parse-names":false,"suffix":""}],"container-title":"Joule","id":"ITEM-1","issue":"1","issued":{"date-parts":[["2019"]]},"page":"177-190","publisher":"Elsevier Inc.","title":"Grain Engineering for Perovskite/Silicon Monolithic Tandem Solar Cells with Efficiency of 25.4%","type":"article-journal","volume":"3"},"uris":["http://www.mendeley.com/documents/?uuid=473e522d-2b6a-4912-89b9-0095548c876e"]}],"mendeley":{"formattedCitation":"&lt;sup&gt;29&lt;/sup&gt;","plainTextFormattedCitation":"29","previouslyFormattedCitation":"&lt;sup&gt;29&lt;/sup&gt;"},"properties":{"noteIndex":0},"schema":"https://github.com/citation-style-language/schema/raw/master/csl-citation.json"}</w:instrText>
      </w:r>
      <w:r w:rsidRPr="00DC43A2">
        <w:rPr>
          <w:b w:val="0"/>
          <w:bCs w:val="0"/>
        </w:rPr>
        <w:fldChar w:fldCharType="separate"/>
      </w:r>
      <w:r w:rsidRPr="00DC43A2">
        <w:rPr>
          <w:b w:val="0"/>
          <w:bCs w:val="0"/>
          <w:vertAlign w:val="superscript"/>
        </w:rPr>
        <w:t>29</w:t>
      </w:r>
      <w:r w:rsidRPr="00DC43A2">
        <w:rPr>
          <w:b w:val="0"/>
          <w:bCs w:val="0"/>
        </w:rPr>
        <w:fldChar w:fldCharType="end"/>
      </w:r>
      <w:bookmarkEnd w:id="3"/>
      <w:r w:rsidR="00F76B01">
        <w:rPr>
          <w:b w:val="0"/>
          <w:bCs w:val="0"/>
          <w:vertAlign w:val="superscript"/>
        </w:rPr>
        <w:t>]</w:t>
      </w:r>
    </w:p>
    <w:p w14:paraId="70C67486" w14:textId="77777777" w:rsidR="004D1237" w:rsidRDefault="004D1237" w:rsidP="004D1237">
      <w:pPr>
        <w:pStyle w:val="Head1"/>
      </w:pPr>
      <w:r>
        <w:rPr>
          <w:noProof/>
        </w:rPr>
        <w:lastRenderedPageBreak/>
        <w:drawing>
          <wp:inline distT="0" distB="0" distL="0" distR="0" wp14:anchorId="77C8DF91" wp14:editId="7035C225">
            <wp:extent cx="5760720" cy="4376420"/>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28306" name="Picture 14428306"/>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60720" cy="4376420"/>
                    </a:xfrm>
                    <a:prstGeom prst="rect">
                      <a:avLst/>
                    </a:prstGeom>
                  </pic:spPr>
                </pic:pic>
              </a:graphicData>
            </a:graphic>
          </wp:inline>
        </w:drawing>
      </w:r>
    </w:p>
    <w:p w14:paraId="02437404" w14:textId="02A2AE59" w:rsidR="004D1237" w:rsidRPr="00F628F1" w:rsidRDefault="004D1237" w:rsidP="00F628F1">
      <w:pPr>
        <w:pStyle w:val="Legend"/>
        <w:spacing w:line="360" w:lineRule="auto"/>
      </w:pPr>
      <w:r w:rsidRPr="00EF4114">
        <w:rPr>
          <w:b/>
        </w:rPr>
        <w:t>Figure 1.</w:t>
      </w:r>
      <w:r w:rsidRPr="00EF4114">
        <w:t xml:space="preserve"> </w:t>
      </w:r>
      <w:r w:rsidRPr="00C31D03">
        <w:t xml:space="preserve">XRD spectra of </w:t>
      </w:r>
      <w:r w:rsidRPr="00DB4B47">
        <w:t>(a) bare FTO, ZTO ETL, ZS ETL and bilayer ETL and of (b) perovskite layer coated on FTO, ZTO ETL, ZS ETL and bilayer ETL. (c) Crystallite size and (d) dislocation density of perovskite layer deposited on bare FTO and ZTO, ZS and bilayer ETLs. The square and circu</w:t>
      </w:r>
      <w:r w:rsidRPr="00C31D03">
        <w:t>lar symbols are the experimental data, while the continuous lines are just a guide to the eyes.</w:t>
      </w:r>
      <w:r>
        <w:t xml:space="preserve"> </w:t>
      </w:r>
    </w:p>
    <w:p w14:paraId="104076EF" w14:textId="77777777" w:rsidR="00C31D03" w:rsidRDefault="00C31D03" w:rsidP="00DC43A2">
      <w:pPr>
        <w:pStyle w:val="Head1"/>
      </w:pPr>
    </w:p>
    <w:p w14:paraId="7C2EE018" w14:textId="523B24BE" w:rsidR="00C31D03" w:rsidRPr="00C31D03" w:rsidRDefault="00C31D03" w:rsidP="00DC43A2">
      <w:pPr>
        <w:pStyle w:val="Head1"/>
      </w:pPr>
      <w:r w:rsidRPr="00EF4114">
        <w:t xml:space="preserve">Table 1. </w:t>
      </w:r>
      <w:r w:rsidRPr="00DC43A2">
        <w:rPr>
          <w:b w:val="0"/>
          <w:bCs w:val="0"/>
        </w:rPr>
        <w:t>Crystallographic parameters of perovskite absorber layer deposited on bare FTO, ZTO, ZS and bilayer ETLs</w:t>
      </w:r>
      <w:r w:rsidR="004D1237">
        <w:rPr>
          <w:b w:val="0"/>
          <w:bCs w:val="0"/>
        </w:rPr>
        <w:t>.</w:t>
      </w:r>
    </w:p>
    <w:tbl>
      <w:tblPr>
        <w:tblW w:w="10632" w:type="dxa"/>
        <w:jc w:val="center"/>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2694"/>
        <w:gridCol w:w="1071"/>
        <w:gridCol w:w="1335"/>
        <w:gridCol w:w="1335"/>
        <w:gridCol w:w="1335"/>
        <w:gridCol w:w="1335"/>
        <w:gridCol w:w="1527"/>
      </w:tblGrid>
      <w:tr w:rsidR="00C31D03" w:rsidRPr="00480365" w14:paraId="693F6D35" w14:textId="77777777" w:rsidTr="00F628F1">
        <w:trPr>
          <w:jc w:val="center"/>
        </w:trPr>
        <w:tc>
          <w:tcPr>
            <w:tcW w:w="2694" w:type="dxa"/>
            <w:tcBorders>
              <w:top w:val="single" w:sz="8" w:space="0" w:color="auto"/>
              <w:bottom w:val="single" w:sz="4" w:space="0" w:color="auto"/>
            </w:tcBorders>
            <w:shd w:val="clear" w:color="auto" w:fill="auto"/>
            <w:vAlign w:val="center"/>
          </w:tcPr>
          <w:p w14:paraId="489826CE" w14:textId="77777777" w:rsidR="00C31D03" w:rsidRPr="00F628F1" w:rsidRDefault="00C31D03" w:rsidP="00C31D03">
            <w:pPr>
              <w:adjustRightInd w:val="0"/>
              <w:snapToGrid w:val="0"/>
              <w:jc w:val="center"/>
              <w:rPr>
                <w:rFonts w:eastAsia="Times New Roman"/>
                <w:b/>
                <w:bCs/>
                <w:snapToGrid w:val="0"/>
                <w:color w:val="000000"/>
                <w:lang w:val="en-US" w:eastAsia="de-DE" w:bidi="en-US"/>
              </w:rPr>
            </w:pPr>
            <w:r w:rsidRPr="00F628F1">
              <w:rPr>
                <w:rFonts w:eastAsia="Times New Roman"/>
                <w:b/>
                <w:bCs/>
                <w:snapToGrid w:val="0"/>
                <w:color w:val="000000"/>
                <w:lang w:val="en-US" w:eastAsia="de-DE" w:bidi="en-US"/>
              </w:rPr>
              <w:t>Sample name</w:t>
            </w:r>
          </w:p>
        </w:tc>
        <w:tc>
          <w:tcPr>
            <w:tcW w:w="1071" w:type="dxa"/>
            <w:tcBorders>
              <w:top w:val="single" w:sz="8" w:space="0" w:color="auto"/>
              <w:bottom w:val="single" w:sz="4" w:space="0" w:color="auto"/>
            </w:tcBorders>
            <w:shd w:val="clear" w:color="auto" w:fill="auto"/>
            <w:vAlign w:val="center"/>
          </w:tcPr>
          <w:p w14:paraId="1015875A" w14:textId="77777777" w:rsidR="00C31D03" w:rsidRPr="00F628F1" w:rsidRDefault="00C31D03" w:rsidP="00C31D03">
            <w:pPr>
              <w:adjustRightInd w:val="0"/>
              <w:snapToGrid w:val="0"/>
              <w:jc w:val="center"/>
              <w:rPr>
                <w:rFonts w:eastAsia="Times New Roman"/>
                <w:b/>
                <w:bCs/>
                <w:snapToGrid w:val="0"/>
                <w:color w:val="000000"/>
                <w:lang w:val="en-US" w:eastAsia="de-DE" w:bidi="en-US"/>
              </w:rPr>
            </w:pPr>
            <w:proofErr w:type="spellStart"/>
            <w:r w:rsidRPr="00F628F1">
              <w:rPr>
                <w:rFonts w:eastAsia="Times New Roman"/>
                <w:b/>
                <w:bCs/>
                <w:snapToGrid w:val="0"/>
                <w:color w:val="000000"/>
                <w:lang w:val="en-US" w:eastAsia="de-DE" w:bidi="en-US"/>
              </w:rPr>
              <w:t>hkl</w:t>
            </w:r>
            <w:proofErr w:type="spellEnd"/>
            <w:r w:rsidRPr="00F628F1">
              <w:rPr>
                <w:rFonts w:eastAsia="Times New Roman"/>
                <w:b/>
                <w:bCs/>
                <w:snapToGrid w:val="0"/>
                <w:color w:val="000000"/>
                <w:lang w:val="en-US" w:eastAsia="de-DE" w:bidi="en-US"/>
              </w:rPr>
              <w:t xml:space="preserve"> planes</w:t>
            </w:r>
          </w:p>
        </w:tc>
        <w:tc>
          <w:tcPr>
            <w:tcW w:w="1335" w:type="dxa"/>
            <w:tcBorders>
              <w:top w:val="single" w:sz="8" w:space="0" w:color="auto"/>
              <w:bottom w:val="single" w:sz="4" w:space="0" w:color="auto"/>
            </w:tcBorders>
            <w:vAlign w:val="center"/>
          </w:tcPr>
          <w:p w14:paraId="24F64B5C" w14:textId="77777777" w:rsidR="00C31D03" w:rsidRPr="00F628F1" w:rsidRDefault="00C31D03" w:rsidP="00C31D03">
            <w:pPr>
              <w:adjustRightInd w:val="0"/>
              <w:snapToGrid w:val="0"/>
              <w:jc w:val="center"/>
              <w:rPr>
                <w:rFonts w:eastAsia="Times New Roman"/>
                <w:b/>
                <w:bCs/>
                <w:snapToGrid w:val="0"/>
                <w:color w:val="000000"/>
                <w:lang w:val="en-US" w:eastAsia="de-DE" w:bidi="en-US"/>
              </w:rPr>
            </w:pPr>
            <w:r w:rsidRPr="00F628F1">
              <w:rPr>
                <w:rFonts w:eastAsia="Times New Roman"/>
                <w:b/>
                <w:bCs/>
                <w:snapToGrid w:val="0"/>
                <w:color w:val="000000"/>
                <w:lang w:val="en-US" w:eastAsia="de-DE" w:bidi="en-US"/>
              </w:rPr>
              <w:t xml:space="preserve">FWHM </w:t>
            </w:r>
          </w:p>
          <w:p w14:paraId="17B5BCBA" w14:textId="77777777" w:rsidR="00C31D03" w:rsidRPr="00F628F1" w:rsidRDefault="00C31D03" w:rsidP="00C31D03">
            <w:pPr>
              <w:adjustRightInd w:val="0"/>
              <w:snapToGrid w:val="0"/>
              <w:jc w:val="center"/>
              <w:rPr>
                <w:rFonts w:eastAsia="Times New Roman"/>
                <w:b/>
                <w:bCs/>
                <w:snapToGrid w:val="0"/>
                <w:color w:val="000000"/>
                <w:lang w:val="en-US" w:eastAsia="de-DE" w:bidi="en-US"/>
              </w:rPr>
            </w:pPr>
            <w:r w:rsidRPr="00F628F1">
              <w:rPr>
                <w:rFonts w:eastAsia="Times New Roman"/>
                <w:b/>
                <w:bCs/>
                <w:snapToGrid w:val="0"/>
                <w:color w:val="000000"/>
                <w:lang w:val="en-US" w:eastAsia="de-DE" w:bidi="en-US"/>
              </w:rPr>
              <w:t>(radians)</w:t>
            </w:r>
          </w:p>
        </w:tc>
        <w:tc>
          <w:tcPr>
            <w:tcW w:w="1335" w:type="dxa"/>
            <w:tcBorders>
              <w:top w:val="single" w:sz="8" w:space="0" w:color="auto"/>
              <w:bottom w:val="single" w:sz="4" w:space="0" w:color="auto"/>
            </w:tcBorders>
            <w:vAlign w:val="center"/>
          </w:tcPr>
          <w:p w14:paraId="3215D6CE" w14:textId="77777777" w:rsidR="00C31D03" w:rsidRPr="00F628F1" w:rsidRDefault="00C31D03" w:rsidP="00C31D03">
            <w:pPr>
              <w:adjustRightInd w:val="0"/>
              <w:snapToGrid w:val="0"/>
              <w:jc w:val="center"/>
              <w:rPr>
                <w:rFonts w:eastAsia="Times New Roman"/>
                <w:b/>
                <w:bCs/>
                <w:snapToGrid w:val="0"/>
                <w:color w:val="000000"/>
                <w:lang w:val="en-US" w:eastAsia="de-DE" w:bidi="en-US"/>
              </w:rPr>
            </w:pPr>
            <w:r w:rsidRPr="00F628F1">
              <w:rPr>
                <w:rFonts w:eastAsia="Times New Roman"/>
                <w:b/>
                <w:bCs/>
                <w:snapToGrid w:val="0"/>
                <w:color w:val="000000"/>
                <w:lang w:val="en-US" w:eastAsia="de-DE" w:bidi="en-US"/>
              </w:rPr>
              <w:t xml:space="preserve">XRD peak </w:t>
            </w:r>
          </w:p>
          <w:p w14:paraId="0ADE6F43" w14:textId="77777777" w:rsidR="00C31D03" w:rsidRPr="00F628F1" w:rsidRDefault="00C31D03" w:rsidP="00C31D03">
            <w:pPr>
              <w:adjustRightInd w:val="0"/>
              <w:snapToGrid w:val="0"/>
              <w:jc w:val="center"/>
              <w:rPr>
                <w:rFonts w:eastAsia="Times New Roman"/>
                <w:b/>
                <w:bCs/>
                <w:snapToGrid w:val="0"/>
                <w:color w:val="000000"/>
                <w:lang w:val="en-US" w:eastAsia="de-DE" w:bidi="en-US"/>
              </w:rPr>
            </w:pPr>
            <w:r w:rsidRPr="00F628F1">
              <w:rPr>
                <w:rFonts w:eastAsia="Times New Roman"/>
                <w:b/>
                <w:bCs/>
                <w:snapToGrid w:val="0"/>
                <w:color w:val="000000"/>
                <w:lang w:val="en-US" w:eastAsia="de-DE" w:bidi="en-US"/>
              </w:rPr>
              <w:t>(2</w:t>
            </w:r>
            <w:r w:rsidRPr="00F628F1">
              <w:rPr>
                <w:rFonts w:eastAsia="Times New Roman"/>
                <w:b/>
                <w:bCs/>
                <w:i/>
                <w:snapToGrid w:val="0"/>
                <w:color w:val="000000"/>
                <w:lang w:val="en-US" w:eastAsia="de-DE" w:bidi="en-US"/>
              </w:rPr>
              <w:sym w:font="Symbol" w:char="F071"/>
            </w:r>
            <w:r w:rsidRPr="00F628F1">
              <w:rPr>
                <w:rFonts w:eastAsia="Times New Roman"/>
                <w:b/>
                <w:bCs/>
                <w:snapToGrid w:val="0"/>
                <w:color w:val="000000"/>
                <w:lang w:val="en-US" w:eastAsia="de-DE" w:bidi="en-US"/>
              </w:rPr>
              <w:t>)</w:t>
            </w:r>
          </w:p>
        </w:tc>
        <w:tc>
          <w:tcPr>
            <w:tcW w:w="1335" w:type="dxa"/>
            <w:tcBorders>
              <w:top w:val="single" w:sz="8" w:space="0" w:color="auto"/>
              <w:bottom w:val="single" w:sz="4" w:space="0" w:color="auto"/>
            </w:tcBorders>
            <w:shd w:val="clear" w:color="auto" w:fill="auto"/>
            <w:vAlign w:val="center"/>
            <w:hideMark/>
          </w:tcPr>
          <w:p w14:paraId="125F0953" w14:textId="77777777" w:rsidR="00C31D03" w:rsidRPr="00F628F1" w:rsidRDefault="00C31D03" w:rsidP="00C31D03">
            <w:pPr>
              <w:adjustRightInd w:val="0"/>
              <w:snapToGrid w:val="0"/>
              <w:jc w:val="center"/>
              <w:rPr>
                <w:rFonts w:eastAsia="Times New Roman"/>
                <w:b/>
                <w:bCs/>
                <w:snapToGrid w:val="0"/>
                <w:color w:val="000000"/>
                <w:lang w:val="en-US" w:eastAsia="de-DE" w:bidi="en-US"/>
              </w:rPr>
            </w:pPr>
            <w:r w:rsidRPr="00F628F1">
              <w:rPr>
                <w:rFonts w:eastAsia="Times New Roman"/>
                <w:b/>
                <w:bCs/>
                <w:snapToGrid w:val="0"/>
                <w:color w:val="000000"/>
                <w:lang w:val="en-US" w:eastAsia="de-DE" w:bidi="en-US"/>
              </w:rPr>
              <w:t xml:space="preserve">Intensity </w:t>
            </w:r>
          </w:p>
          <w:p w14:paraId="62F58087" w14:textId="77777777" w:rsidR="00C31D03" w:rsidRPr="00F628F1" w:rsidRDefault="00C31D03" w:rsidP="00C31D03">
            <w:pPr>
              <w:adjustRightInd w:val="0"/>
              <w:snapToGrid w:val="0"/>
              <w:jc w:val="center"/>
              <w:rPr>
                <w:rFonts w:eastAsia="Times New Roman"/>
                <w:b/>
                <w:bCs/>
                <w:snapToGrid w:val="0"/>
                <w:color w:val="000000"/>
                <w:lang w:val="en-US" w:eastAsia="de-DE" w:bidi="en-US"/>
              </w:rPr>
            </w:pPr>
            <w:r w:rsidRPr="00F628F1">
              <w:rPr>
                <w:rFonts w:eastAsia="Times New Roman"/>
                <w:b/>
                <w:bCs/>
                <w:snapToGrid w:val="0"/>
                <w:color w:val="000000"/>
                <w:lang w:val="en-US" w:eastAsia="de-DE" w:bidi="en-US"/>
              </w:rPr>
              <w:t>(</w:t>
            </w:r>
            <w:proofErr w:type="spellStart"/>
            <w:r w:rsidRPr="00F628F1">
              <w:rPr>
                <w:rFonts w:eastAsia="Times New Roman"/>
                <w:b/>
                <w:bCs/>
                <w:snapToGrid w:val="0"/>
                <w:color w:val="000000"/>
                <w:lang w:val="en-US" w:eastAsia="de-DE" w:bidi="en-US"/>
              </w:rPr>
              <w:t>a.u</w:t>
            </w:r>
            <w:proofErr w:type="spellEnd"/>
            <w:r w:rsidRPr="00F628F1">
              <w:rPr>
                <w:rFonts w:eastAsia="Times New Roman"/>
                <w:b/>
                <w:bCs/>
                <w:snapToGrid w:val="0"/>
                <w:color w:val="000000"/>
                <w:lang w:val="en-US" w:eastAsia="de-DE" w:bidi="en-US"/>
              </w:rPr>
              <w:t>.)</w:t>
            </w:r>
          </w:p>
        </w:tc>
        <w:tc>
          <w:tcPr>
            <w:tcW w:w="1335" w:type="dxa"/>
            <w:tcBorders>
              <w:top w:val="single" w:sz="8" w:space="0" w:color="auto"/>
              <w:bottom w:val="single" w:sz="4" w:space="0" w:color="auto"/>
            </w:tcBorders>
            <w:vAlign w:val="center"/>
          </w:tcPr>
          <w:p w14:paraId="7F50B0E7" w14:textId="77777777" w:rsidR="00C31D03" w:rsidRPr="00F628F1" w:rsidRDefault="00C31D03" w:rsidP="00C31D03">
            <w:pPr>
              <w:adjustRightInd w:val="0"/>
              <w:snapToGrid w:val="0"/>
              <w:jc w:val="center"/>
              <w:rPr>
                <w:rFonts w:eastAsia="Times New Roman"/>
                <w:b/>
                <w:bCs/>
                <w:snapToGrid w:val="0"/>
                <w:color w:val="000000"/>
                <w:lang w:val="en-US" w:eastAsia="de-DE" w:bidi="en-US"/>
              </w:rPr>
            </w:pPr>
            <w:r w:rsidRPr="00F628F1">
              <w:rPr>
                <w:rFonts w:eastAsia="Times New Roman"/>
                <w:b/>
                <w:bCs/>
                <w:snapToGrid w:val="0"/>
                <w:color w:val="000000"/>
                <w:lang w:val="en-US" w:eastAsia="de-DE" w:bidi="en-US"/>
              </w:rPr>
              <w:t xml:space="preserve">Crystallite size </w:t>
            </w:r>
          </w:p>
          <w:p w14:paraId="559F8368" w14:textId="77777777" w:rsidR="00C31D03" w:rsidRPr="00F628F1" w:rsidRDefault="00C31D03" w:rsidP="00C31D03">
            <w:pPr>
              <w:adjustRightInd w:val="0"/>
              <w:snapToGrid w:val="0"/>
              <w:jc w:val="center"/>
              <w:rPr>
                <w:rFonts w:eastAsia="Times New Roman"/>
                <w:b/>
                <w:bCs/>
                <w:snapToGrid w:val="0"/>
                <w:color w:val="000000"/>
                <w:lang w:val="en-US" w:eastAsia="de-DE" w:bidi="en-US"/>
              </w:rPr>
            </w:pPr>
            <w:r w:rsidRPr="00F628F1">
              <w:rPr>
                <w:rFonts w:eastAsia="Times New Roman"/>
                <w:b/>
                <w:bCs/>
                <w:snapToGrid w:val="0"/>
                <w:color w:val="000000"/>
                <w:lang w:val="en-US" w:eastAsia="de-DE" w:bidi="en-US"/>
              </w:rPr>
              <w:t>(nm)</w:t>
            </w:r>
          </w:p>
        </w:tc>
        <w:tc>
          <w:tcPr>
            <w:tcW w:w="1527" w:type="dxa"/>
            <w:tcBorders>
              <w:top w:val="single" w:sz="8" w:space="0" w:color="auto"/>
              <w:bottom w:val="single" w:sz="4" w:space="0" w:color="auto"/>
            </w:tcBorders>
            <w:shd w:val="clear" w:color="auto" w:fill="auto"/>
            <w:vAlign w:val="center"/>
          </w:tcPr>
          <w:p w14:paraId="6380FF6D" w14:textId="77777777" w:rsidR="00C31D03" w:rsidRPr="00F628F1" w:rsidRDefault="00C31D03" w:rsidP="00C31D03">
            <w:pPr>
              <w:adjustRightInd w:val="0"/>
              <w:snapToGrid w:val="0"/>
              <w:jc w:val="center"/>
              <w:rPr>
                <w:rFonts w:eastAsia="Times New Roman"/>
                <w:b/>
                <w:bCs/>
                <w:snapToGrid w:val="0"/>
                <w:color w:val="000000"/>
                <w:lang w:val="en-US" w:eastAsia="de-DE" w:bidi="en-US"/>
              </w:rPr>
            </w:pPr>
            <w:r w:rsidRPr="00F628F1">
              <w:rPr>
                <w:rFonts w:eastAsia="Times New Roman"/>
                <w:b/>
                <w:bCs/>
                <w:snapToGrid w:val="0"/>
                <w:color w:val="000000"/>
                <w:lang w:val="en-US" w:eastAsia="de-DE" w:bidi="en-US"/>
              </w:rPr>
              <w:t xml:space="preserve">Dislocation density </w:t>
            </w:r>
          </w:p>
          <w:p w14:paraId="66D3DFD9" w14:textId="77777777" w:rsidR="00C31D03" w:rsidRPr="00F628F1" w:rsidRDefault="00C31D03" w:rsidP="00C31D03">
            <w:pPr>
              <w:adjustRightInd w:val="0"/>
              <w:snapToGrid w:val="0"/>
              <w:jc w:val="both"/>
              <w:rPr>
                <w:rFonts w:eastAsia="Times New Roman"/>
                <w:b/>
                <w:bCs/>
                <w:snapToGrid w:val="0"/>
                <w:color w:val="000000"/>
                <w:lang w:val="en-US" w:eastAsia="de-DE" w:bidi="en-US"/>
              </w:rPr>
            </w:pPr>
            <w:r w:rsidRPr="00F628F1">
              <w:rPr>
                <w:rFonts w:eastAsia="Times New Roman"/>
                <w:b/>
                <w:bCs/>
                <w:snapToGrid w:val="0"/>
                <w:color w:val="000000"/>
                <w:lang w:val="en-US" w:eastAsia="de-DE" w:bidi="en-US"/>
              </w:rPr>
              <w:t>(</w:t>
            </w:r>
            <w:r w:rsidRPr="00F628F1">
              <w:rPr>
                <w:rFonts w:eastAsia="Times New Roman"/>
                <w:b/>
                <w:bCs/>
                <w:snapToGrid w:val="0"/>
                <w:color w:val="000000"/>
                <w:lang w:val="en-US" w:eastAsia="de-DE" w:bidi="en-US"/>
              </w:rPr>
              <w:sym w:font="Symbol" w:char="F0B4"/>
            </w:r>
            <w:r w:rsidRPr="00F628F1">
              <w:rPr>
                <w:rFonts w:eastAsia="Times New Roman"/>
                <w:b/>
                <w:bCs/>
                <w:snapToGrid w:val="0"/>
                <w:color w:val="000000"/>
                <w:lang w:val="en-US" w:eastAsia="de-DE" w:bidi="en-US"/>
              </w:rPr>
              <w:t>10</w:t>
            </w:r>
            <w:r w:rsidRPr="00F628F1">
              <w:rPr>
                <w:rFonts w:eastAsia="Times New Roman"/>
                <w:b/>
                <w:bCs/>
                <w:snapToGrid w:val="0"/>
                <w:color w:val="000000"/>
                <w:vertAlign w:val="superscript"/>
                <w:lang w:val="en-US" w:eastAsia="de-DE" w:bidi="en-US"/>
              </w:rPr>
              <w:t xml:space="preserve">-5 </w:t>
            </w:r>
            <w:r w:rsidRPr="00F628F1">
              <w:rPr>
                <w:rFonts w:eastAsia="Times New Roman"/>
                <w:b/>
                <w:bCs/>
                <w:snapToGrid w:val="0"/>
                <w:color w:val="000000"/>
                <w:lang w:val="en-US" w:eastAsia="de-DE" w:bidi="en-US"/>
              </w:rPr>
              <w:t>lines/m</w:t>
            </w:r>
            <w:r w:rsidRPr="00F628F1">
              <w:rPr>
                <w:rFonts w:eastAsia="Times New Roman"/>
                <w:b/>
                <w:bCs/>
                <w:snapToGrid w:val="0"/>
                <w:color w:val="000000"/>
                <w:vertAlign w:val="superscript"/>
                <w:lang w:val="en-US" w:eastAsia="de-DE" w:bidi="en-US"/>
              </w:rPr>
              <w:t>2</w:t>
            </w:r>
            <w:r w:rsidRPr="00F628F1">
              <w:rPr>
                <w:rFonts w:eastAsia="Times New Roman"/>
                <w:b/>
                <w:bCs/>
                <w:snapToGrid w:val="0"/>
                <w:color w:val="000000"/>
                <w:lang w:val="en-US" w:eastAsia="de-DE" w:bidi="en-US"/>
              </w:rPr>
              <w:t>)</w:t>
            </w:r>
          </w:p>
        </w:tc>
      </w:tr>
      <w:tr w:rsidR="00C31D03" w:rsidRPr="00480365" w14:paraId="0C4CFE40" w14:textId="77777777" w:rsidTr="00F628F1">
        <w:trPr>
          <w:jc w:val="center"/>
        </w:trPr>
        <w:tc>
          <w:tcPr>
            <w:tcW w:w="2694" w:type="dxa"/>
            <w:vMerge w:val="restart"/>
            <w:tcBorders>
              <w:top w:val="single" w:sz="4" w:space="0" w:color="auto"/>
            </w:tcBorders>
            <w:shd w:val="clear" w:color="auto" w:fill="auto"/>
            <w:vAlign w:val="center"/>
            <w:hideMark/>
          </w:tcPr>
          <w:p w14:paraId="414D813E"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Cs</w:t>
            </w:r>
            <w:r w:rsidRPr="00F628F1">
              <w:rPr>
                <w:rFonts w:eastAsia="Times New Roman"/>
                <w:snapToGrid w:val="0"/>
                <w:color w:val="000000"/>
                <w:vertAlign w:val="subscript"/>
                <w:lang w:val="en-US" w:eastAsia="de-DE" w:bidi="en-US"/>
              </w:rPr>
              <w:t>0.1</w:t>
            </w:r>
            <w:r w:rsidRPr="00F628F1">
              <w:rPr>
                <w:rFonts w:eastAsia="Times New Roman"/>
                <w:snapToGrid w:val="0"/>
                <w:color w:val="000000"/>
                <w:lang w:val="en-US" w:eastAsia="de-DE" w:bidi="en-US"/>
              </w:rPr>
              <w:t>MA</w:t>
            </w:r>
            <w:r w:rsidRPr="00F628F1">
              <w:rPr>
                <w:rFonts w:eastAsia="Times New Roman"/>
                <w:snapToGrid w:val="0"/>
                <w:color w:val="000000"/>
                <w:vertAlign w:val="subscript"/>
                <w:lang w:val="en-US" w:eastAsia="de-DE" w:bidi="en-US"/>
              </w:rPr>
              <w:t>0.9</w:t>
            </w:r>
            <w:r w:rsidRPr="00F628F1">
              <w:rPr>
                <w:rFonts w:eastAsia="Times New Roman"/>
                <w:snapToGrid w:val="0"/>
                <w:color w:val="000000"/>
                <w:lang w:val="en-US" w:eastAsia="de-DE" w:bidi="en-US"/>
              </w:rPr>
              <w:t>Pb(I</w:t>
            </w:r>
            <w:r w:rsidRPr="00F628F1">
              <w:rPr>
                <w:rFonts w:eastAsia="Times New Roman"/>
                <w:snapToGrid w:val="0"/>
                <w:color w:val="000000"/>
                <w:vertAlign w:val="subscript"/>
                <w:lang w:val="en-US" w:eastAsia="de-DE" w:bidi="en-US"/>
              </w:rPr>
              <w:t>0.9</w:t>
            </w:r>
            <w:r w:rsidRPr="00F628F1">
              <w:rPr>
                <w:rFonts w:eastAsia="Times New Roman"/>
                <w:snapToGrid w:val="0"/>
                <w:color w:val="000000"/>
                <w:lang w:val="en-US" w:eastAsia="de-DE" w:bidi="en-US"/>
              </w:rPr>
              <w:t>Br</w:t>
            </w:r>
            <w:r w:rsidRPr="00F628F1">
              <w:rPr>
                <w:rFonts w:eastAsia="Times New Roman"/>
                <w:snapToGrid w:val="0"/>
                <w:color w:val="000000"/>
                <w:vertAlign w:val="subscript"/>
                <w:lang w:val="en-US" w:eastAsia="de-DE" w:bidi="en-US"/>
              </w:rPr>
              <w:t>0.1</w:t>
            </w:r>
            <w:r w:rsidRPr="00F628F1">
              <w:rPr>
                <w:rFonts w:eastAsia="Times New Roman"/>
                <w:snapToGrid w:val="0"/>
                <w:color w:val="000000"/>
                <w:lang w:val="en-US" w:eastAsia="de-DE" w:bidi="en-US"/>
              </w:rPr>
              <w:t>)</w:t>
            </w:r>
            <w:r w:rsidRPr="00F628F1">
              <w:rPr>
                <w:rFonts w:eastAsia="Times New Roman"/>
                <w:snapToGrid w:val="0"/>
                <w:color w:val="000000"/>
                <w:vertAlign w:val="subscript"/>
                <w:lang w:val="en-US" w:eastAsia="de-DE" w:bidi="en-US"/>
              </w:rPr>
              <w:t>3</w:t>
            </w:r>
          </w:p>
          <w:p w14:paraId="5563EC15" w14:textId="77777777" w:rsidR="00C31D03" w:rsidRPr="00F628F1" w:rsidRDefault="00C31D03" w:rsidP="00C31D03">
            <w:pPr>
              <w:adjustRightInd w:val="0"/>
              <w:snapToGrid w:val="0"/>
              <w:jc w:val="center"/>
              <w:rPr>
                <w:rFonts w:eastAsia="Times New Roman"/>
                <w:snapToGrid w:val="0"/>
                <w:color w:val="000000"/>
                <w:lang w:val="en-US" w:eastAsia="de-DE" w:bidi="en-US"/>
              </w:rPr>
            </w:pPr>
          </w:p>
        </w:tc>
        <w:tc>
          <w:tcPr>
            <w:tcW w:w="1071" w:type="dxa"/>
            <w:tcBorders>
              <w:top w:val="single" w:sz="4" w:space="0" w:color="auto"/>
              <w:bottom w:val="nil"/>
            </w:tcBorders>
            <w:shd w:val="clear" w:color="auto" w:fill="auto"/>
            <w:hideMark/>
          </w:tcPr>
          <w:p w14:paraId="7564C32F"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(110)</w:t>
            </w:r>
          </w:p>
        </w:tc>
        <w:tc>
          <w:tcPr>
            <w:tcW w:w="1335" w:type="dxa"/>
            <w:tcBorders>
              <w:top w:val="single" w:sz="4" w:space="0" w:color="auto"/>
              <w:bottom w:val="nil"/>
            </w:tcBorders>
          </w:tcPr>
          <w:p w14:paraId="35A0CEF2"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0.13</w:t>
            </w:r>
          </w:p>
        </w:tc>
        <w:tc>
          <w:tcPr>
            <w:tcW w:w="1335" w:type="dxa"/>
            <w:tcBorders>
              <w:top w:val="single" w:sz="4" w:space="0" w:color="auto"/>
              <w:bottom w:val="nil"/>
            </w:tcBorders>
          </w:tcPr>
          <w:p w14:paraId="752FF0E7"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14.24</w:t>
            </w:r>
          </w:p>
        </w:tc>
        <w:tc>
          <w:tcPr>
            <w:tcW w:w="1335" w:type="dxa"/>
            <w:tcBorders>
              <w:top w:val="single" w:sz="4" w:space="0" w:color="auto"/>
              <w:bottom w:val="nil"/>
            </w:tcBorders>
            <w:shd w:val="clear" w:color="auto" w:fill="auto"/>
          </w:tcPr>
          <w:p w14:paraId="4B39C9B3"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1286.05</w:t>
            </w:r>
          </w:p>
        </w:tc>
        <w:tc>
          <w:tcPr>
            <w:tcW w:w="1335" w:type="dxa"/>
            <w:tcBorders>
              <w:top w:val="single" w:sz="4" w:space="0" w:color="auto"/>
              <w:bottom w:val="nil"/>
            </w:tcBorders>
          </w:tcPr>
          <w:p w14:paraId="02FBB491"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62.81</w:t>
            </w:r>
          </w:p>
        </w:tc>
        <w:tc>
          <w:tcPr>
            <w:tcW w:w="1527" w:type="dxa"/>
            <w:tcBorders>
              <w:top w:val="single" w:sz="4" w:space="0" w:color="auto"/>
              <w:bottom w:val="nil"/>
            </w:tcBorders>
            <w:shd w:val="clear" w:color="auto" w:fill="auto"/>
          </w:tcPr>
          <w:p w14:paraId="0D4ADEAB"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25</w:t>
            </w:r>
          </w:p>
        </w:tc>
      </w:tr>
      <w:tr w:rsidR="00C31D03" w:rsidRPr="00480365" w14:paraId="356D24F4" w14:textId="77777777" w:rsidTr="00F628F1">
        <w:trPr>
          <w:jc w:val="center"/>
        </w:trPr>
        <w:tc>
          <w:tcPr>
            <w:tcW w:w="2694" w:type="dxa"/>
            <w:vMerge/>
            <w:shd w:val="clear" w:color="auto" w:fill="auto"/>
            <w:vAlign w:val="center"/>
            <w:hideMark/>
          </w:tcPr>
          <w:p w14:paraId="00C2833C" w14:textId="77777777" w:rsidR="00C31D03" w:rsidRPr="00F628F1" w:rsidRDefault="00C31D03" w:rsidP="00C31D03">
            <w:pPr>
              <w:adjustRightInd w:val="0"/>
              <w:snapToGrid w:val="0"/>
              <w:jc w:val="center"/>
              <w:rPr>
                <w:rFonts w:eastAsia="Times New Roman"/>
                <w:snapToGrid w:val="0"/>
                <w:color w:val="000000"/>
                <w:lang w:val="en-US" w:eastAsia="de-DE" w:bidi="en-US"/>
              </w:rPr>
            </w:pPr>
          </w:p>
        </w:tc>
        <w:tc>
          <w:tcPr>
            <w:tcW w:w="1071" w:type="dxa"/>
            <w:tcBorders>
              <w:top w:val="nil"/>
              <w:bottom w:val="nil"/>
            </w:tcBorders>
            <w:shd w:val="clear" w:color="auto" w:fill="auto"/>
            <w:hideMark/>
          </w:tcPr>
          <w:p w14:paraId="41313C8A"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(220)</w:t>
            </w:r>
          </w:p>
        </w:tc>
        <w:tc>
          <w:tcPr>
            <w:tcW w:w="1335" w:type="dxa"/>
            <w:tcBorders>
              <w:top w:val="nil"/>
              <w:bottom w:val="nil"/>
            </w:tcBorders>
          </w:tcPr>
          <w:p w14:paraId="18EC3F5C"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0.16</w:t>
            </w:r>
          </w:p>
        </w:tc>
        <w:tc>
          <w:tcPr>
            <w:tcW w:w="1335" w:type="dxa"/>
            <w:tcBorders>
              <w:top w:val="nil"/>
              <w:bottom w:val="nil"/>
            </w:tcBorders>
          </w:tcPr>
          <w:p w14:paraId="3A477C39"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28.60</w:t>
            </w:r>
          </w:p>
        </w:tc>
        <w:tc>
          <w:tcPr>
            <w:tcW w:w="1335" w:type="dxa"/>
            <w:tcBorders>
              <w:top w:val="nil"/>
              <w:bottom w:val="nil"/>
            </w:tcBorders>
            <w:shd w:val="clear" w:color="auto" w:fill="auto"/>
          </w:tcPr>
          <w:p w14:paraId="63755B57"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803.85</w:t>
            </w:r>
          </w:p>
        </w:tc>
        <w:tc>
          <w:tcPr>
            <w:tcW w:w="1335" w:type="dxa"/>
            <w:tcBorders>
              <w:top w:val="nil"/>
              <w:bottom w:val="nil"/>
            </w:tcBorders>
          </w:tcPr>
          <w:p w14:paraId="283E0122"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53.77</w:t>
            </w:r>
          </w:p>
        </w:tc>
        <w:tc>
          <w:tcPr>
            <w:tcW w:w="1527" w:type="dxa"/>
            <w:tcBorders>
              <w:top w:val="nil"/>
              <w:bottom w:val="nil"/>
            </w:tcBorders>
            <w:shd w:val="clear" w:color="auto" w:fill="auto"/>
          </w:tcPr>
          <w:p w14:paraId="6DBE37BC"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35</w:t>
            </w:r>
          </w:p>
        </w:tc>
      </w:tr>
      <w:tr w:rsidR="00C31D03" w:rsidRPr="00480365" w14:paraId="3ED6AC03" w14:textId="77777777" w:rsidTr="00F628F1">
        <w:trPr>
          <w:jc w:val="center"/>
        </w:trPr>
        <w:tc>
          <w:tcPr>
            <w:tcW w:w="2694" w:type="dxa"/>
            <w:vMerge w:val="restart"/>
            <w:tcBorders>
              <w:top w:val="single" w:sz="4" w:space="0" w:color="auto"/>
              <w:bottom w:val="nil"/>
            </w:tcBorders>
            <w:shd w:val="clear" w:color="auto" w:fill="auto"/>
            <w:vAlign w:val="center"/>
            <w:hideMark/>
          </w:tcPr>
          <w:p w14:paraId="372F6FA5"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ZTO / Cs</w:t>
            </w:r>
            <w:r w:rsidRPr="00F628F1">
              <w:rPr>
                <w:rFonts w:eastAsia="Times New Roman"/>
                <w:snapToGrid w:val="0"/>
                <w:color w:val="000000"/>
                <w:vertAlign w:val="subscript"/>
                <w:lang w:val="en-US" w:eastAsia="de-DE" w:bidi="en-US"/>
              </w:rPr>
              <w:t>0.1</w:t>
            </w:r>
            <w:r w:rsidRPr="00F628F1">
              <w:rPr>
                <w:rFonts w:eastAsia="Times New Roman"/>
                <w:snapToGrid w:val="0"/>
                <w:color w:val="000000"/>
                <w:lang w:val="en-US" w:eastAsia="de-DE" w:bidi="en-US"/>
              </w:rPr>
              <w:t>MA</w:t>
            </w:r>
            <w:r w:rsidRPr="00F628F1">
              <w:rPr>
                <w:rFonts w:eastAsia="Times New Roman"/>
                <w:snapToGrid w:val="0"/>
                <w:color w:val="000000"/>
                <w:vertAlign w:val="subscript"/>
                <w:lang w:val="en-US" w:eastAsia="de-DE" w:bidi="en-US"/>
              </w:rPr>
              <w:t>0.9</w:t>
            </w:r>
            <w:r w:rsidRPr="00F628F1">
              <w:rPr>
                <w:rFonts w:eastAsia="Times New Roman"/>
                <w:snapToGrid w:val="0"/>
                <w:color w:val="000000"/>
                <w:lang w:val="en-US" w:eastAsia="de-DE" w:bidi="en-US"/>
              </w:rPr>
              <w:t>Pb(I</w:t>
            </w:r>
            <w:r w:rsidRPr="00F628F1">
              <w:rPr>
                <w:rFonts w:eastAsia="Times New Roman"/>
                <w:snapToGrid w:val="0"/>
                <w:color w:val="000000"/>
                <w:vertAlign w:val="subscript"/>
                <w:lang w:val="en-US" w:eastAsia="de-DE" w:bidi="en-US"/>
              </w:rPr>
              <w:t>0.9</w:t>
            </w:r>
            <w:r w:rsidRPr="00F628F1">
              <w:rPr>
                <w:rFonts w:eastAsia="Times New Roman"/>
                <w:snapToGrid w:val="0"/>
                <w:color w:val="000000"/>
                <w:lang w:val="en-US" w:eastAsia="de-DE" w:bidi="en-US"/>
              </w:rPr>
              <w:t>Br</w:t>
            </w:r>
            <w:r w:rsidRPr="00F628F1">
              <w:rPr>
                <w:rFonts w:eastAsia="Times New Roman"/>
                <w:snapToGrid w:val="0"/>
                <w:color w:val="000000"/>
                <w:vertAlign w:val="subscript"/>
                <w:lang w:val="en-US" w:eastAsia="de-DE" w:bidi="en-US"/>
              </w:rPr>
              <w:t>0.1</w:t>
            </w:r>
            <w:r w:rsidRPr="00F628F1">
              <w:rPr>
                <w:rFonts w:eastAsia="Times New Roman"/>
                <w:snapToGrid w:val="0"/>
                <w:color w:val="000000"/>
                <w:lang w:val="en-US" w:eastAsia="de-DE" w:bidi="en-US"/>
              </w:rPr>
              <w:t>)</w:t>
            </w:r>
            <w:r w:rsidRPr="00F628F1">
              <w:rPr>
                <w:rFonts w:eastAsia="Times New Roman"/>
                <w:snapToGrid w:val="0"/>
                <w:color w:val="000000"/>
                <w:vertAlign w:val="subscript"/>
                <w:lang w:val="en-US" w:eastAsia="de-DE" w:bidi="en-US"/>
              </w:rPr>
              <w:t>3</w:t>
            </w:r>
          </w:p>
          <w:p w14:paraId="31DADFF7" w14:textId="77777777" w:rsidR="00C31D03" w:rsidRPr="00F628F1" w:rsidRDefault="00C31D03" w:rsidP="00C31D03">
            <w:pPr>
              <w:adjustRightInd w:val="0"/>
              <w:snapToGrid w:val="0"/>
              <w:jc w:val="center"/>
              <w:rPr>
                <w:rFonts w:eastAsia="Times New Roman"/>
                <w:snapToGrid w:val="0"/>
                <w:color w:val="000000"/>
                <w:lang w:val="en-US" w:eastAsia="de-DE" w:bidi="en-US"/>
              </w:rPr>
            </w:pPr>
          </w:p>
        </w:tc>
        <w:tc>
          <w:tcPr>
            <w:tcW w:w="1071" w:type="dxa"/>
            <w:tcBorders>
              <w:top w:val="single" w:sz="4" w:space="0" w:color="auto"/>
              <w:bottom w:val="nil"/>
            </w:tcBorders>
            <w:shd w:val="clear" w:color="auto" w:fill="auto"/>
            <w:hideMark/>
          </w:tcPr>
          <w:p w14:paraId="34CEC419"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(110)</w:t>
            </w:r>
          </w:p>
        </w:tc>
        <w:tc>
          <w:tcPr>
            <w:tcW w:w="1335" w:type="dxa"/>
            <w:tcBorders>
              <w:top w:val="single" w:sz="4" w:space="0" w:color="auto"/>
              <w:bottom w:val="nil"/>
            </w:tcBorders>
          </w:tcPr>
          <w:p w14:paraId="7B45C3DA"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0.12</w:t>
            </w:r>
          </w:p>
        </w:tc>
        <w:tc>
          <w:tcPr>
            <w:tcW w:w="1335" w:type="dxa"/>
            <w:tcBorders>
              <w:top w:val="single" w:sz="4" w:space="0" w:color="auto"/>
              <w:bottom w:val="nil"/>
            </w:tcBorders>
          </w:tcPr>
          <w:p w14:paraId="3E777B0E"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14.24</w:t>
            </w:r>
          </w:p>
        </w:tc>
        <w:tc>
          <w:tcPr>
            <w:tcW w:w="1335" w:type="dxa"/>
            <w:tcBorders>
              <w:top w:val="single" w:sz="4" w:space="0" w:color="auto"/>
              <w:bottom w:val="nil"/>
            </w:tcBorders>
            <w:shd w:val="clear" w:color="auto" w:fill="auto"/>
            <w:hideMark/>
          </w:tcPr>
          <w:p w14:paraId="08B8A17B"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1380.86</w:t>
            </w:r>
          </w:p>
        </w:tc>
        <w:tc>
          <w:tcPr>
            <w:tcW w:w="1335" w:type="dxa"/>
            <w:tcBorders>
              <w:top w:val="single" w:sz="4" w:space="0" w:color="auto"/>
              <w:bottom w:val="nil"/>
            </w:tcBorders>
          </w:tcPr>
          <w:p w14:paraId="2E17938C"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67.45</w:t>
            </w:r>
          </w:p>
        </w:tc>
        <w:tc>
          <w:tcPr>
            <w:tcW w:w="1527" w:type="dxa"/>
            <w:tcBorders>
              <w:top w:val="single" w:sz="4" w:space="0" w:color="auto"/>
              <w:bottom w:val="nil"/>
            </w:tcBorders>
            <w:shd w:val="clear" w:color="auto" w:fill="auto"/>
          </w:tcPr>
          <w:p w14:paraId="59842D9C"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22</w:t>
            </w:r>
          </w:p>
        </w:tc>
      </w:tr>
      <w:tr w:rsidR="00C31D03" w:rsidRPr="00480365" w14:paraId="43A899B3" w14:textId="77777777" w:rsidTr="00F628F1">
        <w:trPr>
          <w:jc w:val="center"/>
        </w:trPr>
        <w:tc>
          <w:tcPr>
            <w:tcW w:w="2694" w:type="dxa"/>
            <w:vMerge/>
            <w:tcBorders>
              <w:top w:val="nil"/>
              <w:bottom w:val="single" w:sz="4" w:space="0" w:color="auto"/>
            </w:tcBorders>
            <w:shd w:val="clear" w:color="auto" w:fill="auto"/>
            <w:vAlign w:val="center"/>
            <w:hideMark/>
          </w:tcPr>
          <w:p w14:paraId="4C91CFF9" w14:textId="77777777" w:rsidR="00C31D03" w:rsidRPr="00F628F1" w:rsidRDefault="00C31D03" w:rsidP="00C31D03">
            <w:pPr>
              <w:adjustRightInd w:val="0"/>
              <w:snapToGrid w:val="0"/>
              <w:jc w:val="center"/>
              <w:rPr>
                <w:rFonts w:eastAsia="Times New Roman"/>
                <w:snapToGrid w:val="0"/>
                <w:color w:val="000000"/>
                <w:lang w:val="en-US" w:eastAsia="de-DE" w:bidi="en-US"/>
              </w:rPr>
            </w:pPr>
          </w:p>
        </w:tc>
        <w:tc>
          <w:tcPr>
            <w:tcW w:w="1071" w:type="dxa"/>
            <w:tcBorders>
              <w:top w:val="nil"/>
              <w:bottom w:val="single" w:sz="4" w:space="0" w:color="auto"/>
            </w:tcBorders>
            <w:shd w:val="clear" w:color="auto" w:fill="auto"/>
            <w:hideMark/>
          </w:tcPr>
          <w:p w14:paraId="10E457FB"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(220)</w:t>
            </w:r>
          </w:p>
        </w:tc>
        <w:tc>
          <w:tcPr>
            <w:tcW w:w="1335" w:type="dxa"/>
            <w:tcBorders>
              <w:top w:val="nil"/>
              <w:bottom w:val="single" w:sz="4" w:space="0" w:color="auto"/>
            </w:tcBorders>
          </w:tcPr>
          <w:p w14:paraId="230FE777"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0.15</w:t>
            </w:r>
          </w:p>
        </w:tc>
        <w:tc>
          <w:tcPr>
            <w:tcW w:w="1335" w:type="dxa"/>
            <w:tcBorders>
              <w:top w:val="nil"/>
              <w:bottom w:val="single" w:sz="4" w:space="0" w:color="auto"/>
            </w:tcBorders>
          </w:tcPr>
          <w:p w14:paraId="342F8B4F"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28.60</w:t>
            </w:r>
          </w:p>
        </w:tc>
        <w:tc>
          <w:tcPr>
            <w:tcW w:w="1335" w:type="dxa"/>
            <w:tcBorders>
              <w:top w:val="nil"/>
              <w:bottom w:val="single" w:sz="4" w:space="0" w:color="auto"/>
            </w:tcBorders>
            <w:shd w:val="clear" w:color="auto" w:fill="auto"/>
            <w:hideMark/>
          </w:tcPr>
          <w:p w14:paraId="1F002FB1"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923.68</w:t>
            </w:r>
          </w:p>
        </w:tc>
        <w:tc>
          <w:tcPr>
            <w:tcW w:w="1335" w:type="dxa"/>
            <w:tcBorders>
              <w:top w:val="nil"/>
              <w:bottom w:val="single" w:sz="4" w:space="0" w:color="auto"/>
            </w:tcBorders>
          </w:tcPr>
          <w:p w14:paraId="6532528B"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56.95</w:t>
            </w:r>
          </w:p>
        </w:tc>
        <w:tc>
          <w:tcPr>
            <w:tcW w:w="1527" w:type="dxa"/>
            <w:tcBorders>
              <w:top w:val="nil"/>
              <w:bottom w:val="single" w:sz="4" w:space="0" w:color="auto"/>
            </w:tcBorders>
            <w:shd w:val="clear" w:color="auto" w:fill="auto"/>
          </w:tcPr>
          <w:p w14:paraId="56959601"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31</w:t>
            </w:r>
          </w:p>
        </w:tc>
      </w:tr>
      <w:tr w:rsidR="00C31D03" w:rsidRPr="00480365" w14:paraId="625D1D93" w14:textId="77777777" w:rsidTr="00F628F1">
        <w:trPr>
          <w:jc w:val="center"/>
        </w:trPr>
        <w:tc>
          <w:tcPr>
            <w:tcW w:w="2694" w:type="dxa"/>
            <w:vMerge w:val="restart"/>
            <w:tcBorders>
              <w:top w:val="single" w:sz="4" w:space="0" w:color="auto"/>
              <w:bottom w:val="nil"/>
            </w:tcBorders>
            <w:shd w:val="clear" w:color="auto" w:fill="auto"/>
            <w:vAlign w:val="center"/>
            <w:hideMark/>
          </w:tcPr>
          <w:p w14:paraId="361D531A"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ZS / Cs</w:t>
            </w:r>
            <w:r w:rsidRPr="00F628F1">
              <w:rPr>
                <w:rFonts w:eastAsia="Times New Roman"/>
                <w:snapToGrid w:val="0"/>
                <w:color w:val="000000"/>
                <w:vertAlign w:val="subscript"/>
                <w:lang w:val="en-US" w:eastAsia="de-DE" w:bidi="en-US"/>
              </w:rPr>
              <w:t>0.1</w:t>
            </w:r>
            <w:r w:rsidRPr="00F628F1">
              <w:rPr>
                <w:rFonts w:eastAsia="Times New Roman"/>
                <w:snapToGrid w:val="0"/>
                <w:color w:val="000000"/>
                <w:lang w:val="en-US" w:eastAsia="de-DE" w:bidi="en-US"/>
              </w:rPr>
              <w:t>MA</w:t>
            </w:r>
            <w:r w:rsidRPr="00F628F1">
              <w:rPr>
                <w:rFonts w:eastAsia="Times New Roman"/>
                <w:snapToGrid w:val="0"/>
                <w:color w:val="000000"/>
                <w:vertAlign w:val="subscript"/>
                <w:lang w:val="en-US" w:eastAsia="de-DE" w:bidi="en-US"/>
              </w:rPr>
              <w:t>0.9</w:t>
            </w:r>
            <w:r w:rsidRPr="00F628F1">
              <w:rPr>
                <w:rFonts w:eastAsia="Times New Roman"/>
                <w:snapToGrid w:val="0"/>
                <w:color w:val="000000"/>
                <w:lang w:val="en-US" w:eastAsia="de-DE" w:bidi="en-US"/>
              </w:rPr>
              <w:t>Pb(I</w:t>
            </w:r>
            <w:r w:rsidRPr="00F628F1">
              <w:rPr>
                <w:rFonts w:eastAsia="Times New Roman"/>
                <w:snapToGrid w:val="0"/>
                <w:color w:val="000000"/>
                <w:vertAlign w:val="subscript"/>
                <w:lang w:val="en-US" w:eastAsia="de-DE" w:bidi="en-US"/>
              </w:rPr>
              <w:t>0.9</w:t>
            </w:r>
            <w:r w:rsidRPr="00F628F1">
              <w:rPr>
                <w:rFonts w:eastAsia="Times New Roman"/>
                <w:snapToGrid w:val="0"/>
                <w:color w:val="000000"/>
                <w:lang w:val="en-US" w:eastAsia="de-DE" w:bidi="en-US"/>
              </w:rPr>
              <w:t>Br</w:t>
            </w:r>
            <w:r w:rsidRPr="00F628F1">
              <w:rPr>
                <w:rFonts w:eastAsia="Times New Roman"/>
                <w:snapToGrid w:val="0"/>
                <w:color w:val="000000"/>
                <w:vertAlign w:val="subscript"/>
                <w:lang w:val="en-US" w:eastAsia="de-DE" w:bidi="en-US"/>
              </w:rPr>
              <w:t>0.1</w:t>
            </w:r>
            <w:r w:rsidRPr="00F628F1">
              <w:rPr>
                <w:rFonts w:eastAsia="Times New Roman"/>
                <w:snapToGrid w:val="0"/>
                <w:color w:val="000000"/>
                <w:lang w:val="en-US" w:eastAsia="de-DE" w:bidi="en-US"/>
              </w:rPr>
              <w:t>)</w:t>
            </w:r>
            <w:r w:rsidRPr="00F628F1">
              <w:rPr>
                <w:rFonts w:eastAsia="Times New Roman"/>
                <w:snapToGrid w:val="0"/>
                <w:color w:val="000000"/>
                <w:vertAlign w:val="subscript"/>
                <w:lang w:val="en-US" w:eastAsia="de-DE" w:bidi="en-US"/>
              </w:rPr>
              <w:t>3</w:t>
            </w:r>
          </w:p>
          <w:p w14:paraId="1E09D594" w14:textId="77777777" w:rsidR="00C31D03" w:rsidRPr="00F628F1" w:rsidRDefault="00C31D03" w:rsidP="00C31D03">
            <w:pPr>
              <w:adjustRightInd w:val="0"/>
              <w:snapToGrid w:val="0"/>
              <w:jc w:val="center"/>
              <w:rPr>
                <w:rFonts w:eastAsia="Times New Roman"/>
                <w:snapToGrid w:val="0"/>
                <w:color w:val="000000"/>
                <w:lang w:val="en-US" w:eastAsia="de-DE" w:bidi="en-US"/>
              </w:rPr>
            </w:pPr>
          </w:p>
        </w:tc>
        <w:tc>
          <w:tcPr>
            <w:tcW w:w="1071" w:type="dxa"/>
            <w:tcBorders>
              <w:top w:val="single" w:sz="4" w:space="0" w:color="auto"/>
              <w:bottom w:val="nil"/>
            </w:tcBorders>
            <w:shd w:val="clear" w:color="auto" w:fill="auto"/>
            <w:hideMark/>
          </w:tcPr>
          <w:p w14:paraId="7A534D07"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(110)</w:t>
            </w:r>
          </w:p>
        </w:tc>
        <w:tc>
          <w:tcPr>
            <w:tcW w:w="1335" w:type="dxa"/>
            <w:tcBorders>
              <w:top w:val="single" w:sz="4" w:space="0" w:color="auto"/>
              <w:bottom w:val="nil"/>
            </w:tcBorders>
          </w:tcPr>
          <w:p w14:paraId="68BF0392"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0.11</w:t>
            </w:r>
          </w:p>
        </w:tc>
        <w:tc>
          <w:tcPr>
            <w:tcW w:w="1335" w:type="dxa"/>
            <w:tcBorders>
              <w:top w:val="single" w:sz="4" w:space="0" w:color="auto"/>
              <w:bottom w:val="nil"/>
            </w:tcBorders>
          </w:tcPr>
          <w:p w14:paraId="02F8E5F7"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14.24</w:t>
            </w:r>
          </w:p>
        </w:tc>
        <w:tc>
          <w:tcPr>
            <w:tcW w:w="1335" w:type="dxa"/>
            <w:tcBorders>
              <w:top w:val="single" w:sz="4" w:space="0" w:color="auto"/>
              <w:bottom w:val="nil"/>
            </w:tcBorders>
            <w:shd w:val="clear" w:color="auto" w:fill="auto"/>
            <w:hideMark/>
          </w:tcPr>
          <w:p w14:paraId="219AD3C1"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1276.99</w:t>
            </w:r>
          </w:p>
        </w:tc>
        <w:tc>
          <w:tcPr>
            <w:tcW w:w="1335" w:type="dxa"/>
            <w:tcBorders>
              <w:top w:val="single" w:sz="4" w:space="0" w:color="auto"/>
              <w:bottom w:val="nil"/>
            </w:tcBorders>
          </w:tcPr>
          <w:p w14:paraId="4BBA4E3C"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73.32</w:t>
            </w:r>
          </w:p>
        </w:tc>
        <w:tc>
          <w:tcPr>
            <w:tcW w:w="1527" w:type="dxa"/>
            <w:tcBorders>
              <w:top w:val="single" w:sz="4" w:space="0" w:color="auto"/>
              <w:bottom w:val="nil"/>
            </w:tcBorders>
            <w:shd w:val="clear" w:color="auto" w:fill="auto"/>
          </w:tcPr>
          <w:p w14:paraId="45582A57"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19</w:t>
            </w:r>
          </w:p>
        </w:tc>
      </w:tr>
      <w:tr w:rsidR="00C31D03" w:rsidRPr="00480365" w14:paraId="36BF4059" w14:textId="77777777" w:rsidTr="00F628F1">
        <w:trPr>
          <w:jc w:val="center"/>
        </w:trPr>
        <w:tc>
          <w:tcPr>
            <w:tcW w:w="2694" w:type="dxa"/>
            <w:vMerge/>
            <w:tcBorders>
              <w:top w:val="nil"/>
              <w:bottom w:val="nil"/>
            </w:tcBorders>
            <w:shd w:val="clear" w:color="auto" w:fill="auto"/>
            <w:vAlign w:val="center"/>
            <w:hideMark/>
          </w:tcPr>
          <w:p w14:paraId="294485AB" w14:textId="77777777" w:rsidR="00C31D03" w:rsidRPr="00F628F1" w:rsidRDefault="00C31D03" w:rsidP="00C31D03">
            <w:pPr>
              <w:adjustRightInd w:val="0"/>
              <w:snapToGrid w:val="0"/>
              <w:jc w:val="center"/>
              <w:rPr>
                <w:rFonts w:eastAsia="Times New Roman"/>
                <w:snapToGrid w:val="0"/>
                <w:color w:val="000000"/>
                <w:lang w:val="en-US" w:eastAsia="de-DE" w:bidi="en-US"/>
              </w:rPr>
            </w:pPr>
          </w:p>
        </w:tc>
        <w:tc>
          <w:tcPr>
            <w:tcW w:w="1071" w:type="dxa"/>
            <w:tcBorders>
              <w:top w:val="nil"/>
              <w:bottom w:val="nil"/>
            </w:tcBorders>
            <w:shd w:val="clear" w:color="auto" w:fill="auto"/>
            <w:hideMark/>
          </w:tcPr>
          <w:p w14:paraId="44C8AEDD"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(220)</w:t>
            </w:r>
          </w:p>
        </w:tc>
        <w:tc>
          <w:tcPr>
            <w:tcW w:w="1335" w:type="dxa"/>
            <w:tcBorders>
              <w:top w:val="nil"/>
              <w:bottom w:val="nil"/>
            </w:tcBorders>
          </w:tcPr>
          <w:p w14:paraId="61E92189"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0.14</w:t>
            </w:r>
          </w:p>
        </w:tc>
        <w:tc>
          <w:tcPr>
            <w:tcW w:w="1335" w:type="dxa"/>
            <w:tcBorders>
              <w:top w:val="nil"/>
              <w:bottom w:val="nil"/>
            </w:tcBorders>
          </w:tcPr>
          <w:p w14:paraId="47B86906"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28.60</w:t>
            </w:r>
          </w:p>
        </w:tc>
        <w:tc>
          <w:tcPr>
            <w:tcW w:w="1335" w:type="dxa"/>
            <w:tcBorders>
              <w:top w:val="nil"/>
              <w:bottom w:val="nil"/>
            </w:tcBorders>
            <w:shd w:val="clear" w:color="auto" w:fill="auto"/>
            <w:hideMark/>
          </w:tcPr>
          <w:p w14:paraId="08A1E65F"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890.61</w:t>
            </w:r>
          </w:p>
        </w:tc>
        <w:tc>
          <w:tcPr>
            <w:tcW w:w="1335" w:type="dxa"/>
            <w:tcBorders>
              <w:top w:val="nil"/>
              <w:bottom w:val="nil"/>
            </w:tcBorders>
          </w:tcPr>
          <w:p w14:paraId="460F8029"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60.64</w:t>
            </w:r>
          </w:p>
        </w:tc>
        <w:tc>
          <w:tcPr>
            <w:tcW w:w="1527" w:type="dxa"/>
            <w:tcBorders>
              <w:top w:val="nil"/>
              <w:bottom w:val="nil"/>
            </w:tcBorders>
            <w:shd w:val="clear" w:color="auto" w:fill="auto"/>
          </w:tcPr>
          <w:p w14:paraId="5BB480D5"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27</w:t>
            </w:r>
          </w:p>
        </w:tc>
      </w:tr>
      <w:tr w:rsidR="00C31D03" w:rsidRPr="00480365" w14:paraId="679E33C8" w14:textId="77777777" w:rsidTr="00F628F1">
        <w:trPr>
          <w:jc w:val="center"/>
        </w:trPr>
        <w:tc>
          <w:tcPr>
            <w:tcW w:w="2694" w:type="dxa"/>
            <w:vMerge w:val="restart"/>
            <w:tcBorders>
              <w:top w:val="single" w:sz="4" w:space="0" w:color="auto"/>
              <w:bottom w:val="nil"/>
            </w:tcBorders>
            <w:shd w:val="clear" w:color="auto" w:fill="auto"/>
            <w:vAlign w:val="center"/>
          </w:tcPr>
          <w:p w14:paraId="62146F6C"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Bilayer / Cs</w:t>
            </w:r>
            <w:r w:rsidRPr="00F628F1">
              <w:rPr>
                <w:rFonts w:eastAsia="Times New Roman"/>
                <w:snapToGrid w:val="0"/>
                <w:color w:val="000000"/>
                <w:vertAlign w:val="subscript"/>
                <w:lang w:val="en-US" w:eastAsia="de-DE" w:bidi="en-US"/>
              </w:rPr>
              <w:t>0.1</w:t>
            </w:r>
            <w:r w:rsidRPr="00F628F1">
              <w:rPr>
                <w:rFonts w:eastAsia="Times New Roman"/>
                <w:snapToGrid w:val="0"/>
                <w:color w:val="000000"/>
                <w:lang w:val="en-US" w:eastAsia="de-DE" w:bidi="en-US"/>
              </w:rPr>
              <w:t>MA</w:t>
            </w:r>
            <w:r w:rsidRPr="00F628F1">
              <w:rPr>
                <w:rFonts w:eastAsia="Times New Roman"/>
                <w:snapToGrid w:val="0"/>
                <w:color w:val="000000"/>
                <w:vertAlign w:val="subscript"/>
                <w:lang w:val="en-US" w:eastAsia="de-DE" w:bidi="en-US"/>
              </w:rPr>
              <w:t>0.9</w:t>
            </w:r>
            <w:r w:rsidRPr="00F628F1">
              <w:rPr>
                <w:rFonts w:eastAsia="Times New Roman"/>
                <w:snapToGrid w:val="0"/>
                <w:color w:val="000000"/>
                <w:lang w:val="en-US" w:eastAsia="de-DE" w:bidi="en-US"/>
              </w:rPr>
              <w:t>Pb(I</w:t>
            </w:r>
            <w:r w:rsidRPr="00F628F1">
              <w:rPr>
                <w:rFonts w:eastAsia="Times New Roman"/>
                <w:snapToGrid w:val="0"/>
                <w:color w:val="000000"/>
                <w:vertAlign w:val="subscript"/>
                <w:lang w:val="en-US" w:eastAsia="de-DE" w:bidi="en-US"/>
              </w:rPr>
              <w:t>0.9</w:t>
            </w:r>
            <w:r w:rsidRPr="00F628F1">
              <w:rPr>
                <w:rFonts w:eastAsia="Times New Roman"/>
                <w:snapToGrid w:val="0"/>
                <w:color w:val="000000"/>
                <w:lang w:val="en-US" w:eastAsia="de-DE" w:bidi="en-US"/>
              </w:rPr>
              <w:t>Br</w:t>
            </w:r>
            <w:r w:rsidRPr="00F628F1">
              <w:rPr>
                <w:rFonts w:eastAsia="Times New Roman"/>
                <w:snapToGrid w:val="0"/>
                <w:color w:val="000000"/>
                <w:vertAlign w:val="subscript"/>
                <w:lang w:val="en-US" w:eastAsia="de-DE" w:bidi="en-US"/>
              </w:rPr>
              <w:t>0.1</w:t>
            </w:r>
            <w:r w:rsidRPr="00F628F1">
              <w:rPr>
                <w:rFonts w:eastAsia="Times New Roman"/>
                <w:snapToGrid w:val="0"/>
                <w:color w:val="000000"/>
                <w:lang w:val="en-US" w:eastAsia="de-DE" w:bidi="en-US"/>
              </w:rPr>
              <w:t>)</w:t>
            </w:r>
            <w:r w:rsidRPr="00F628F1">
              <w:rPr>
                <w:rFonts w:eastAsia="Times New Roman"/>
                <w:snapToGrid w:val="0"/>
                <w:color w:val="000000"/>
                <w:vertAlign w:val="subscript"/>
                <w:lang w:val="en-US" w:eastAsia="de-DE" w:bidi="en-US"/>
              </w:rPr>
              <w:t>3</w:t>
            </w:r>
          </w:p>
        </w:tc>
        <w:tc>
          <w:tcPr>
            <w:tcW w:w="1071" w:type="dxa"/>
            <w:tcBorders>
              <w:top w:val="single" w:sz="4" w:space="0" w:color="auto"/>
              <w:bottom w:val="nil"/>
            </w:tcBorders>
            <w:shd w:val="clear" w:color="auto" w:fill="auto"/>
          </w:tcPr>
          <w:p w14:paraId="45035AF3"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(110)</w:t>
            </w:r>
          </w:p>
        </w:tc>
        <w:tc>
          <w:tcPr>
            <w:tcW w:w="1335" w:type="dxa"/>
            <w:tcBorders>
              <w:top w:val="single" w:sz="4" w:space="0" w:color="auto"/>
              <w:bottom w:val="nil"/>
            </w:tcBorders>
          </w:tcPr>
          <w:p w14:paraId="2CC4F884"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0.11</w:t>
            </w:r>
          </w:p>
        </w:tc>
        <w:tc>
          <w:tcPr>
            <w:tcW w:w="1335" w:type="dxa"/>
            <w:tcBorders>
              <w:top w:val="single" w:sz="4" w:space="0" w:color="auto"/>
              <w:bottom w:val="nil"/>
            </w:tcBorders>
          </w:tcPr>
          <w:p w14:paraId="1B7EAA6F"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14.24</w:t>
            </w:r>
          </w:p>
        </w:tc>
        <w:tc>
          <w:tcPr>
            <w:tcW w:w="1335" w:type="dxa"/>
            <w:tcBorders>
              <w:top w:val="single" w:sz="4" w:space="0" w:color="auto"/>
              <w:bottom w:val="nil"/>
            </w:tcBorders>
            <w:shd w:val="clear" w:color="auto" w:fill="auto"/>
          </w:tcPr>
          <w:p w14:paraId="655D2CEE"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1513.39</w:t>
            </w:r>
          </w:p>
        </w:tc>
        <w:tc>
          <w:tcPr>
            <w:tcW w:w="1335" w:type="dxa"/>
            <w:tcBorders>
              <w:top w:val="single" w:sz="4" w:space="0" w:color="auto"/>
              <w:bottom w:val="nil"/>
            </w:tcBorders>
          </w:tcPr>
          <w:p w14:paraId="429180AD"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77.53</w:t>
            </w:r>
          </w:p>
        </w:tc>
        <w:tc>
          <w:tcPr>
            <w:tcW w:w="1527" w:type="dxa"/>
            <w:tcBorders>
              <w:top w:val="single" w:sz="4" w:space="0" w:color="auto"/>
              <w:bottom w:val="nil"/>
            </w:tcBorders>
            <w:shd w:val="clear" w:color="auto" w:fill="auto"/>
          </w:tcPr>
          <w:p w14:paraId="63023AFF"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17</w:t>
            </w:r>
          </w:p>
        </w:tc>
      </w:tr>
      <w:tr w:rsidR="00C31D03" w:rsidRPr="00480365" w14:paraId="43D2BE86" w14:textId="77777777" w:rsidTr="00F628F1">
        <w:trPr>
          <w:jc w:val="center"/>
        </w:trPr>
        <w:tc>
          <w:tcPr>
            <w:tcW w:w="2694" w:type="dxa"/>
            <w:vMerge/>
            <w:tcBorders>
              <w:top w:val="nil"/>
              <w:bottom w:val="single" w:sz="4" w:space="0" w:color="auto"/>
            </w:tcBorders>
            <w:shd w:val="clear" w:color="auto" w:fill="auto"/>
          </w:tcPr>
          <w:p w14:paraId="3B35761E" w14:textId="77777777" w:rsidR="00C31D03" w:rsidRPr="00F628F1" w:rsidRDefault="00C31D03" w:rsidP="00C31D03">
            <w:pPr>
              <w:adjustRightInd w:val="0"/>
              <w:snapToGrid w:val="0"/>
              <w:jc w:val="center"/>
              <w:rPr>
                <w:rFonts w:eastAsia="Times New Roman"/>
                <w:snapToGrid w:val="0"/>
                <w:color w:val="000000"/>
                <w:lang w:val="en-US" w:eastAsia="de-DE" w:bidi="en-US"/>
              </w:rPr>
            </w:pPr>
          </w:p>
        </w:tc>
        <w:tc>
          <w:tcPr>
            <w:tcW w:w="1071" w:type="dxa"/>
            <w:tcBorders>
              <w:top w:val="nil"/>
              <w:bottom w:val="single" w:sz="4" w:space="0" w:color="auto"/>
            </w:tcBorders>
            <w:shd w:val="clear" w:color="auto" w:fill="auto"/>
          </w:tcPr>
          <w:p w14:paraId="0D013D69"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(220)</w:t>
            </w:r>
          </w:p>
        </w:tc>
        <w:tc>
          <w:tcPr>
            <w:tcW w:w="1335" w:type="dxa"/>
            <w:tcBorders>
              <w:top w:val="nil"/>
              <w:bottom w:val="single" w:sz="4" w:space="0" w:color="auto"/>
            </w:tcBorders>
          </w:tcPr>
          <w:p w14:paraId="039D96D3"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0.14</w:t>
            </w:r>
          </w:p>
        </w:tc>
        <w:tc>
          <w:tcPr>
            <w:tcW w:w="1335" w:type="dxa"/>
            <w:tcBorders>
              <w:top w:val="nil"/>
              <w:bottom w:val="single" w:sz="4" w:space="0" w:color="auto"/>
            </w:tcBorders>
          </w:tcPr>
          <w:p w14:paraId="4FAFE089"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28.60</w:t>
            </w:r>
          </w:p>
        </w:tc>
        <w:tc>
          <w:tcPr>
            <w:tcW w:w="1335" w:type="dxa"/>
            <w:tcBorders>
              <w:top w:val="nil"/>
              <w:bottom w:val="single" w:sz="4" w:space="0" w:color="auto"/>
            </w:tcBorders>
            <w:shd w:val="clear" w:color="auto" w:fill="auto"/>
          </w:tcPr>
          <w:p w14:paraId="2945D757"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959.12</w:t>
            </w:r>
          </w:p>
        </w:tc>
        <w:tc>
          <w:tcPr>
            <w:tcW w:w="1335" w:type="dxa"/>
            <w:tcBorders>
              <w:top w:val="nil"/>
              <w:bottom w:val="single" w:sz="4" w:space="0" w:color="auto"/>
            </w:tcBorders>
          </w:tcPr>
          <w:p w14:paraId="7762E9D6"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60.36</w:t>
            </w:r>
          </w:p>
        </w:tc>
        <w:tc>
          <w:tcPr>
            <w:tcW w:w="1527" w:type="dxa"/>
            <w:tcBorders>
              <w:top w:val="nil"/>
              <w:bottom w:val="single" w:sz="4" w:space="0" w:color="auto"/>
            </w:tcBorders>
            <w:shd w:val="clear" w:color="auto" w:fill="auto"/>
          </w:tcPr>
          <w:p w14:paraId="28B1B0A7" w14:textId="77777777" w:rsidR="00C31D03" w:rsidRPr="00F628F1" w:rsidRDefault="00C31D03" w:rsidP="00C31D03">
            <w:pPr>
              <w:adjustRightInd w:val="0"/>
              <w:snapToGrid w:val="0"/>
              <w:jc w:val="center"/>
              <w:rPr>
                <w:rFonts w:eastAsia="Times New Roman"/>
                <w:snapToGrid w:val="0"/>
                <w:color w:val="000000"/>
                <w:lang w:val="en-US" w:eastAsia="de-DE" w:bidi="en-US"/>
              </w:rPr>
            </w:pPr>
            <w:r w:rsidRPr="00F628F1">
              <w:rPr>
                <w:rFonts w:eastAsia="Times New Roman"/>
                <w:snapToGrid w:val="0"/>
                <w:color w:val="000000"/>
                <w:lang w:val="en-US" w:eastAsia="de-DE" w:bidi="en-US"/>
              </w:rPr>
              <w:t>27</w:t>
            </w:r>
          </w:p>
        </w:tc>
      </w:tr>
    </w:tbl>
    <w:p w14:paraId="6FE2A469" w14:textId="77777777" w:rsidR="00C31D03" w:rsidRDefault="00C31D03" w:rsidP="00DC43A2">
      <w:pPr>
        <w:pStyle w:val="Head1"/>
      </w:pPr>
    </w:p>
    <w:p w14:paraId="09ADEA78" w14:textId="74EF95EF" w:rsidR="00E92C2A" w:rsidRPr="00F76B01" w:rsidRDefault="00E92C2A" w:rsidP="00D24FB1">
      <w:pPr>
        <w:pStyle w:val="Head1"/>
        <w:ind w:firstLine="708"/>
        <w:rPr>
          <w:vertAlign w:val="superscript"/>
        </w:rPr>
      </w:pPr>
      <w:r w:rsidRPr="00DC43A2">
        <w:rPr>
          <w:b w:val="0"/>
          <w:bCs w:val="0"/>
        </w:rPr>
        <w:lastRenderedPageBreak/>
        <w:t xml:space="preserve">The morphological properties of the different ternary metal oxide ETLs were studied by taking SEM images as represented in </w:t>
      </w:r>
      <w:r w:rsidRPr="00DB4B47">
        <w:t>Fig</w:t>
      </w:r>
      <w:r w:rsidR="00DB4B47" w:rsidRPr="00DB4B47">
        <w:t>ure</w:t>
      </w:r>
      <w:r w:rsidRPr="00DB4B47">
        <w:t xml:space="preserve"> 2</w:t>
      </w:r>
      <w:r w:rsidRPr="00DC43A2">
        <w:rPr>
          <w:b w:val="0"/>
          <w:bCs w:val="0"/>
        </w:rPr>
        <w:t>a-c. A uniform coverage of all the ETLs was observed across the FTO glass substrate without the presence of any cracks or pinholes.</w:t>
      </w:r>
      <w:r w:rsidR="004D1237">
        <w:rPr>
          <w:b w:val="0"/>
          <w:bCs w:val="0"/>
        </w:rPr>
        <w:t xml:space="preserve"> </w:t>
      </w:r>
      <w:r w:rsidRPr="00DC43A2">
        <w:rPr>
          <w:b w:val="0"/>
          <w:bCs w:val="0"/>
        </w:rPr>
        <w:t>Bilayer ETL, in particular, showed a rather more homogeneous and smoother coverage with comparatively larger grain size which is important for the efficient charge extraction and lower recombination at the grain boundaries.</w:t>
      </w:r>
      <w:r w:rsidR="00F76B01">
        <w:rPr>
          <w:b w:val="0"/>
          <w:bCs w:val="0"/>
          <w:vertAlign w:val="superscript"/>
        </w:rPr>
        <w:t>[</w:t>
      </w:r>
      <w:r w:rsidRPr="00DC43A2">
        <w:rPr>
          <w:b w:val="0"/>
          <w:bCs w:val="0"/>
        </w:rPr>
        <w:fldChar w:fldCharType="begin" w:fldLock="1"/>
      </w:r>
      <w:r w:rsidRPr="00DC43A2">
        <w:rPr>
          <w:b w:val="0"/>
          <w:bCs w:val="0"/>
        </w:rPr>
        <w:instrText>ADDIN CSL_CITATION {"citationItems":[{"id":"ITEM-1","itemData":{"DOI":"10.1016/j.apsusc.2019.145099","ISSN":"01694332","abstract":"In this work, Graphene quantum dots (GQDs) was decorated on the SnO2 electron transport layers (ETLs) to boost the performance of perovskite solar cells (PSCs). The power conversion efficiency (PCE) of 21.1% was acquired with the combination of SnO2 and GQDs. Compared with the SnO2-only ETL devices (18.6%), the PCE of SnO2/GQDs based devices is greatly enhanced in PCE by the value of 13.4% as well as in the stability. Investigation reveals that with the combination of SnO2 and GQDs, the open circuit voltage (VOC) and the short circuit current density (JSC) could increase. Various advanced optical and electrical characterizations were carried out to explore the action mechanism of GQDs. The experimental results convinced that the introduction of GQDs leads to the better carrier transportation and extraction by increasing the electronic coupling and matching the energy levels between the perovskite and SnO2 ETL. Also, the perovskite film quality deposited on the GQDs decorated SnO2 ETL is better compared with the SnO2 only. Furthermore, the device stability based on the GQDs modified SnO2 is evidently improved contrast to the SnO2-only device. Its performance kept above 80% of initial value after 720 h storage.","author":[{"dropping-particle":"","family":"Pang","given":"Shangzheng","non-dropping-particle":"","parse-names":false,"suffix":""},{"dropping-particle":"","family":"Zhang","given":"Chunfu","non-dropping-particle":"","parse-names":false,"suffix":""},{"dropping-particle":"","family":"Zhang","given":"Hairong","non-dropping-particle":"","parse-names":false,"suffix":""},{"dropping-particle":"","family":"Dong","given":"Hang","non-dropping-particle":"","parse-names":false,"suffix":""},{"dropping-particle":"","family":"Chen","given":"Dazheng","non-dropping-particle":"","parse-names":false,"suffix":""},{"dropping-particle":"","family":"Zhu","given":"Weidong","non-dropping-particle":"","parse-names":false,"suffix":""},{"dropping-particle":"","family":"Xi","given":"He","non-dropping-particle":"","parse-names":false,"suffix":""},{"dropping-particle":"","family":"Chang","given":"Jingjing","non-dropping-particle":"","parse-names":false,"suffix":""},{"dropping-particle":"","family":"Lin","given":"Zhenhua","non-dropping-particle":"","parse-names":false,"suffix":""},{"dropping-particle":"","family":"Zhang","given":"Jincheng","non-dropping-particle":"","parse-names":false,"suffix":""},{"dropping-particle":"","family":"Hao","given":"Yue","non-dropping-particle":"","parse-names":false,"suffix":""}],"container-title":"Applied Surface Science","id":"ITEM-1","issue":"October 2019","issued":{"date-parts":[["2020"]]},"title":"Boosting performance of perovskite solar cells with Graphene quantum dots decorated SnO2 electron transport layers","type":"article-journal","volume":"507"},"uris":["http://www.mendeley.com/documents/?uuid=5b7a3329-1506-4641-8421-a47718ef3392"]}],"mendeley":{"formattedCitation":"&lt;sup&gt;30&lt;/sup&gt;","plainTextFormattedCitation":"30","previouslyFormattedCitation":"&lt;sup&gt;30&lt;/sup&gt;"},"properties":{"noteIndex":0},"schema":"https://github.com/citation-style-language/schema/raw/master/csl-citation.json"}</w:instrText>
      </w:r>
      <w:r w:rsidRPr="00DC43A2">
        <w:rPr>
          <w:b w:val="0"/>
          <w:bCs w:val="0"/>
        </w:rPr>
        <w:fldChar w:fldCharType="separate"/>
      </w:r>
      <w:r w:rsidRPr="00DC43A2">
        <w:rPr>
          <w:b w:val="0"/>
          <w:bCs w:val="0"/>
          <w:vertAlign w:val="superscript"/>
        </w:rPr>
        <w:t>30</w:t>
      </w:r>
      <w:r w:rsidRPr="00DC43A2">
        <w:rPr>
          <w:b w:val="0"/>
          <w:bCs w:val="0"/>
        </w:rPr>
        <w:fldChar w:fldCharType="end"/>
      </w:r>
      <w:r w:rsidR="00F76B01">
        <w:rPr>
          <w:b w:val="0"/>
          <w:bCs w:val="0"/>
          <w:vertAlign w:val="superscript"/>
        </w:rPr>
        <w:t>]</w:t>
      </w:r>
    </w:p>
    <w:p w14:paraId="2637B9D3" w14:textId="77777777" w:rsidR="00E92C2A" w:rsidRDefault="00E92C2A" w:rsidP="00DC43A2">
      <w:pPr>
        <w:pStyle w:val="Head1"/>
      </w:pPr>
    </w:p>
    <w:p w14:paraId="3B64C662" w14:textId="247DC9AB" w:rsidR="00E92C2A" w:rsidRDefault="00E92C2A" w:rsidP="00DC43A2">
      <w:pPr>
        <w:pStyle w:val="Head1"/>
      </w:pPr>
      <w:r>
        <w:rPr>
          <w:noProof/>
        </w:rPr>
        <w:drawing>
          <wp:inline distT="0" distB="0" distL="0" distR="0" wp14:anchorId="08AE6257" wp14:editId="47AB2B65">
            <wp:extent cx="5756001" cy="3800377"/>
            <wp:effectExtent l="0" t="0" r="0" b="0"/>
            <wp:docPr id="10195657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9565771" name="Picture 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56001" cy="3800377"/>
                    </a:xfrm>
                    <a:prstGeom prst="rect">
                      <a:avLst/>
                    </a:prstGeom>
                  </pic:spPr>
                </pic:pic>
              </a:graphicData>
            </a:graphic>
          </wp:inline>
        </w:drawing>
      </w:r>
    </w:p>
    <w:p w14:paraId="1B9DC909" w14:textId="7D9B335E" w:rsidR="00E92C2A" w:rsidRDefault="00E92C2A" w:rsidP="00DC43A2">
      <w:pPr>
        <w:pStyle w:val="Head1"/>
      </w:pPr>
      <w:r w:rsidRPr="00480365">
        <w:t xml:space="preserve">Figure </w:t>
      </w:r>
      <w:r w:rsidR="00675541" w:rsidRPr="00480365">
        <w:t>2</w:t>
      </w:r>
      <w:r w:rsidRPr="00480365">
        <w:t xml:space="preserve">. </w:t>
      </w:r>
      <w:r w:rsidRPr="00480365">
        <w:rPr>
          <w:b w:val="0"/>
          <w:bCs w:val="0"/>
        </w:rPr>
        <w:t>Top-view SEM images of (a) ZTO ETL, (b) ZS ETL and (c) bilayer ETL coated on FTO glass substrate. Top-view SEM images of Cs</w:t>
      </w:r>
      <w:r w:rsidRPr="00480365">
        <w:rPr>
          <w:b w:val="0"/>
          <w:bCs w:val="0"/>
          <w:vertAlign w:val="subscript"/>
        </w:rPr>
        <w:t>0.1</w:t>
      </w:r>
      <w:r w:rsidRPr="00480365">
        <w:rPr>
          <w:b w:val="0"/>
          <w:bCs w:val="0"/>
        </w:rPr>
        <w:t>MA</w:t>
      </w:r>
      <w:r w:rsidRPr="00480365">
        <w:rPr>
          <w:b w:val="0"/>
          <w:bCs w:val="0"/>
          <w:vertAlign w:val="subscript"/>
        </w:rPr>
        <w:t>0.9</w:t>
      </w:r>
      <w:r w:rsidRPr="00480365">
        <w:rPr>
          <w:b w:val="0"/>
          <w:bCs w:val="0"/>
        </w:rPr>
        <w:t>Pb(I</w:t>
      </w:r>
      <w:r w:rsidRPr="00480365">
        <w:rPr>
          <w:b w:val="0"/>
          <w:bCs w:val="0"/>
          <w:vertAlign w:val="subscript"/>
        </w:rPr>
        <w:t>0.9</w:t>
      </w:r>
      <w:r w:rsidRPr="00480365">
        <w:rPr>
          <w:b w:val="0"/>
          <w:bCs w:val="0"/>
        </w:rPr>
        <w:t>Br</w:t>
      </w:r>
      <w:r w:rsidRPr="00480365">
        <w:rPr>
          <w:b w:val="0"/>
          <w:bCs w:val="0"/>
          <w:vertAlign w:val="subscript"/>
        </w:rPr>
        <w:t>0.1</w:t>
      </w:r>
      <w:r w:rsidRPr="00480365">
        <w:rPr>
          <w:b w:val="0"/>
          <w:bCs w:val="0"/>
        </w:rPr>
        <w:t>)</w:t>
      </w:r>
      <w:r w:rsidRPr="00480365">
        <w:rPr>
          <w:b w:val="0"/>
          <w:bCs w:val="0"/>
          <w:vertAlign w:val="subscript"/>
        </w:rPr>
        <w:t>3</w:t>
      </w:r>
      <w:r w:rsidRPr="00480365">
        <w:rPr>
          <w:b w:val="0"/>
          <w:bCs w:val="0"/>
        </w:rPr>
        <w:t xml:space="preserve"> deposited on (d) ZTO ETL, (e) ZS ETL and (f) bilayer ETL.</w:t>
      </w:r>
      <w:r w:rsidR="00650F12" w:rsidRPr="00480365">
        <w:rPr>
          <w:b w:val="0"/>
          <w:bCs w:val="0"/>
        </w:rPr>
        <w:t xml:space="preserve"> The most prominent very </w:t>
      </w:r>
      <w:r w:rsidR="002D0C72" w:rsidRPr="00480365">
        <w:rPr>
          <w:b w:val="0"/>
          <w:bCs w:val="0"/>
        </w:rPr>
        <w:t>fine pinholes in panel (d) have been marked with red circles for the sake of major clarity.</w:t>
      </w:r>
    </w:p>
    <w:p w14:paraId="66E0145A" w14:textId="77777777" w:rsidR="00E92C2A" w:rsidRPr="00E92C2A" w:rsidRDefault="00E92C2A" w:rsidP="00DC43A2">
      <w:pPr>
        <w:pStyle w:val="Head1"/>
      </w:pPr>
    </w:p>
    <w:p w14:paraId="35F3C416" w14:textId="37477D63" w:rsidR="00B453F9" w:rsidRPr="00F76B01" w:rsidRDefault="00E92C2A" w:rsidP="00D24FB1">
      <w:pPr>
        <w:pStyle w:val="Head1"/>
        <w:ind w:firstLine="708"/>
        <w:rPr>
          <w:vertAlign w:val="superscript"/>
        </w:rPr>
      </w:pPr>
      <w:bookmarkStart w:id="4" w:name="_Hlk172415010"/>
      <w:r w:rsidRPr="00DC43A2">
        <w:rPr>
          <w:b w:val="0"/>
          <w:bCs w:val="0"/>
        </w:rPr>
        <w:t>The top-view SEM images of the Cs</w:t>
      </w:r>
      <w:r w:rsidRPr="00DC43A2">
        <w:rPr>
          <w:b w:val="0"/>
          <w:bCs w:val="0"/>
          <w:vertAlign w:val="subscript"/>
        </w:rPr>
        <w:t>0.1</w:t>
      </w:r>
      <w:r w:rsidRPr="00DC43A2">
        <w:rPr>
          <w:b w:val="0"/>
          <w:bCs w:val="0"/>
        </w:rPr>
        <w:t>MA</w:t>
      </w:r>
      <w:r w:rsidRPr="00DC43A2">
        <w:rPr>
          <w:b w:val="0"/>
          <w:bCs w:val="0"/>
          <w:vertAlign w:val="subscript"/>
        </w:rPr>
        <w:t>0.9</w:t>
      </w:r>
      <w:r w:rsidRPr="00DC43A2">
        <w:rPr>
          <w:b w:val="0"/>
          <w:bCs w:val="0"/>
        </w:rPr>
        <w:t>Pb(I</w:t>
      </w:r>
      <w:r w:rsidRPr="00DC43A2">
        <w:rPr>
          <w:b w:val="0"/>
          <w:bCs w:val="0"/>
          <w:vertAlign w:val="subscript"/>
        </w:rPr>
        <w:t>0.9</w:t>
      </w:r>
      <w:r w:rsidRPr="00DC43A2">
        <w:rPr>
          <w:b w:val="0"/>
          <w:bCs w:val="0"/>
        </w:rPr>
        <w:t>Br</w:t>
      </w:r>
      <w:r w:rsidRPr="00DC43A2">
        <w:rPr>
          <w:b w:val="0"/>
          <w:bCs w:val="0"/>
          <w:vertAlign w:val="subscript"/>
        </w:rPr>
        <w:t>0.1</w:t>
      </w:r>
      <w:r w:rsidRPr="00DC43A2">
        <w:rPr>
          <w:b w:val="0"/>
          <w:bCs w:val="0"/>
        </w:rPr>
        <w:t>)</w:t>
      </w:r>
      <w:r w:rsidRPr="00DC43A2">
        <w:rPr>
          <w:b w:val="0"/>
          <w:bCs w:val="0"/>
          <w:vertAlign w:val="subscript"/>
        </w:rPr>
        <w:t xml:space="preserve">3 </w:t>
      </w:r>
      <w:r w:rsidRPr="00DC43A2">
        <w:rPr>
          <w:b w:val="0"/>
          <w:bCs w:val="0"/>
        </w:rPr>
        <w:t xml:space="preserve">perovskite layer deposited on these ETLs show different surface morphology, as highlighted in </w:t>
      </w:r>
      <w:r w:rsidRPr="00F628F1">
        <w:rPr>
          <w:b w:val="0"/>
        </w:rPr>
        <w:t>Fig</w:t>
      </w:r>
      <w:r w:rsidR="00DB4B47" w:rsidRPr="00F628F1">
        <w:rPr>
          <w:b w:val="0"/>
        </w:rPr>
        <w:t>ure</w:t>
      </w:r>
      <w:r w:rsidRPr="00F628F1">
        <w:rPr>
          <w:b w:val="0"/>
        </w:rPr>
        <w:t xml:space="preserve"> 2</w:t>
      </w:r>
      <w:r w:rsidRPr="00DC43A2">
        <w:rPr>
          <w:b w:val="0"/>
          <w:bCs w:val="0"/>
        </w:rPr>
        <w:t xml:space="preserve">d-f. Perovskite film grown on ZTO ETL contains pinholes and, therefore, exhibits relatively inferior surface coverage. Whereas perovskite film deposited on ZS ETL showed better surface coverage with small grains. Notably, when comparing the perovskite films developed on ZTO and ZS ETLs, the perovskite film deposited on bilayer ETL is dense, pinhole-free, and has relatively better </w:t>
      </w:r>
      <w:r w:rsidRPr="00DC43A2">
        <w:rPr>
          <w:b w:val="0"/>
          <w:bCs w:val="0"/>
        </w:rPr>
        <w:lastRenderedPageBreak/>
        <w:t xml:space="preserve">surface coverage with larger grain size, as demonstrated in </w:t>
      </w:r>
      <w:r w:rsidRPr="00F628F1">
        <w:rPr>
          <w:b w:val="0"/>
        </w:rPr>
        <w:t>Fig</w:t>
      </w:r>
      <w:r w:rsidR="00DB4B47" w:rsidRPr="00F628F1">
        <w:rPr>
          <w:b w:val="0"/>
        </w:rPr>
        <w:t>ure</w:t>
      </w:r>
      <w:r w:rsidRPr="00F628F1">
        <w:rPr>
          <w:b w:val="0"/>
        </w:rPr>
        <w:t xml:space="preserve"> 2</w:t>
      </w:r>
      <w:r w:rsidRPr="00DC43A2">
        <w:rPr>
          <w:b w:val="0"/>
          <w:bCs w:val="0"/>
        </w:rPr>
        <w:t>f. This uniform and highly crystalline perovskite structure on ETL is anticipated to boost the efficiency of PSCs.</w:t>
      </w:r>
      <w:r w:rsidR="00F76B01">
        <w:rPr>
          <w:b w:val="0"/>
          <w:bCs w:val="0"/>
          <w:vertAlign w:val="superscript"/>
        </w:rPr>
        <w:t>[</w:t>
      </w:r>
      <w:r w:rsidRPr="00DC43A2">
        <w:rPr>
          <w:b w:val="0"/>
          <w:bCs w:val="0"/>
          <w:lang w:val="de-DE"/>
        </w:rPr>
        <w:fldChar w:fldCharType="begin" w:fldLock="1"/>
      </w:r>
      <w:r w:rsidRPr="00DC43A2">
        <w:rPr>
          <w:b w:val="0"/>
          <w:bCs w:val="0"/>
        </w:rPr>
        <w:instrText>ADDIN CSL_CITATION {"citationItems":[{"id":"ITEM-1","itemData":{"DOI":"10.1021/acsami.9b09238","ISSN":"19448252","PMID":"31436075","abstract":"Tin dioxide (SnO2) has been widely applied as an electron transport layer (ETL) for the n-i-p-Type perovskite solar cells (Pero-SCs). However, the existence of defects at the surface of SnO2 and the hysteresis behavior of the devices with SnO2 ETL limit its application in the Pero-SCs. In this study, a fullerene derivative pyrrolidinofullerene C60-substituted phenol (NPC60-OH) was synthesized and applied to modify the SnO2 ETL in Pero-SCs for the first time. The systematic and comparative characterizations demonstrated that, after the introduction of an NPC60-OH modification layer on the SnO2 ETL, the perovskite films in the corresponding device showed enlarged grain size and these devices presented enhanced electron transport and decreased charge recombination velocity. Besides, the NPC60-OH layer could significantly reduce the trap-state density in the perovskite film. As a result, a champion power conversion efficiency (PCE) of 21.39% was achieved for the SnO2/NPC60-OH-based Pero-SCs, with suppressed hysteresis and improved stability, while the control devices with pristine SnO2 ETL showed a lower PCE of 19.04%.","author":[{"dropping-particle":"","family":"Cao","given":"Tiantian","non-dropping-particle":"","parse-names":false,"suffix":""},{"dropping-particle":"","family":"Chen","given":"Kang","non-dropping-particle":"","parse-names":false,"suffix":""},{"dropping-particle":"","family":"Chen","given":"Qiaoyun","non-dropping-particle":"","parse-names":false,"suffix":""},{"dropping-particle":"","family":"Zhou","given":"Yi","non-dropping-particle":"","parse-names":false,"suffix":""},{"dropping-particle":"","family":"Chen","given":"Ning","non-dropping-particle":"","parse-names":false,"suffix":""},{"dropping-particle":"","family":"Li","given":"Yongfang","non-dropping-particle":"","parse-names":false,"suffix":""}],"container-title":"ACS Applied Materials and Interfaces","id":"ITEM-1","issue":"37","issued":{"date-parts":[["2019"]]},"page":"33825-33834","title":"Fullerene Derivative-Modified SnO2 Electron Transport Layer for Highly Efficient Perovskite Solar Cells with Efficiency over 21%","type":"article-journal","volume":"11"},"uris":["http://www.mendeley.com/documents/?uuid=f16ce640-1b36-46d9-a61f-264bdce2a6bc"]}],"mendeley":{"formattedCitation":"&lt;sup&gt;5&lt;/sup&gt;","plainTextFormattedCitation":"5","previouslyFormattedCitation":"&lt;sup&gt;5&lt;/sup&gt;"},"properties":{"noteIndex":0},"schema":"https://github.com/citation-style-language/schema/raw/master/csl-citation.json"}</w:instrText>
      </w:r>
      <w:r w:rsidRPr="00DC43A2">
        <w:rPr>
          <w:b w:val="0"/>
          <w:bCs w:val="0"/>
          <w:lang w:val="de-DE"/>
        </w:rPr>
        <w:fldChar w:fldCharType="separate"/>
      </w:r>
      <w:r w:rsidRPr="00DC43A2">
        <w:rPr>
          <w:b w:val="0"/>
          <w:bCs w:val="0"/>
          <w:vertAlign w:val="superscript"/>
        </w:rPr>
        <w:t>5</w:t>
      </w:r>
      <w:r w:rsidRPr="00DC43A2">
        <w:rPr>
          <w:b w:val="0"/>
          <w:bCs w:val="0"/>
        </w:rPr>
        <w:fldChar w:fldCharType="end"/>
      </w:r>
      <w:bookmarkEnd w:id="4"/>
      <w:r w:rsidR="00F76B01">
        <w:rPr>
          <w:b w:val="0"/>
          <w:bCs w:val="0"/>
          <w:vertAlign w:val="superscript"/>
        </w:rPr>
        <w:t>]</w:t>
      </w:r>
    </w:p>
    <w:p w14:paraId="222882AD" w14:textId="30CA8068" w:rsidR="00DC43A2" w:rsidRPr="00F76B01" w:rsidRDefault="00DC43A2" w:rsidP="00D24FB1">
      <w:pPr>
        <w:pStyle w:val="Head1"/>
        <w:ind w:firstLine="708"/>
        <w:rPr>
          <w:vertAlign w:val="superscript"/>
        </w:rPr>
      </w:pPr>
      <w:r w:rsidRPr="00DC43A2">
        <w:rPr>
          <w:b w:val="0"/>
          <w:bCs w:val="0"/>
        </w:rPr>
        <w:t xml:space="preserve">The absorbance spectra of perovskite films over FTO glass substrate and ternary metal oxide ETLs are represented in </w:t>
      </w:r>
      <w:r w:rsidRPr="00DB4B47">
        <w:t>Fig</w:t>
      </w:r>
      <w:r w:rsidR="00DB4B47" w:rsidRPr="00DB4B47">
        <w:t>ure</w:t>
      </w:r>
      <w:r w:rsidRPr="00DB4B47">
        <w:t xml:space="preserve"> 3</w:t>
      </w:r>
      <w:r w:rsidRPr="00DC43A2">
        <w:rPr>
          <w:b w:val="0"/>
          <w:bCs w:val="0"/>
        </w:rPr>
        <w:t xml:space="preserve">. Perovskite film deposited on bilayer ETL exhibited the highest absorption values due to large grain size and high surface coverage ratio, as supported by the SEM results in </w:t>
      </w:r>
      <w:r w:rsidRPr="00572E2C">
        <w:rPr>
          <w:b w:val="0"/>
        </w:rPr>
        <w:t>Fig</w:t>
      </w:r>
      <w:r w:rsidR="00DB4B47" w:rsidRPr="00572E2C">
        <w:rPr>
          <w:b w:val="0"/>
        </w:rPr>
        <w:t>ure</w:t>
      </w:r>
      <w:r w:rsidRPr="00572E2C">
        <w:rPr>
          <w:b w:val="0"/>
        </w:rPr>
        <w:t xml:space="preserve"> 2</w:t>
      </w:r>
      <w:r w:rsidRPr="00DC43A2">
        <w:rPr>
          <w:b w:val="0"/>
          <w:bCs w:val="0"/>
        </w:rPr>
        <w:t>f. These high absorption values with bilayer ETL are crucial for superior device performance and elevated current densities.</w:t>
      </w:r>
      <w:r w:rsidR="00F76B01">
        <w:rPr>
          <w:b w:val="0"/>
          <w:bCs w:val="0"/>
          <w:vertAlign w:val="superscript"/>
        </w:rPr>
        <w:t>[</w:t>
      </w:r>
      <w:r w:rsidRPr="00DC43A2">
        <w:rPr>
          <w:b w:val="0"/>
          <w:bCs w:val="0"/>
        </w:rPr>
        <w:fldChar w:fldCharType="begin" w:fldLock="1"/>
      </w:r>
      <w:r w:rsidRPr="00DC43A2">
        <w:rPr>
          <w:b w:val="0"/>
          <w:bCs w:val="0"/>
        </w:rPr>
        <w:instrText>ADDIN CSL_CITATION {"citationItems":[{"id":"ITEM-1","itemData":{"DOI":"10.1021/acsami.9b09377","ISSN":"19448252","PMID":"31490649","abstract":"In streamlined multipurpose applications for light management and protection, encapsulants are merged with photonic crystal structures into solar modules. We present an edge-located 1D grating, attachable polymer on the top of a photovoltaic module to provide a strategy for capturing solar light and improving cell efficiency. Large-area solar arrays suffer from space utilization problems due to nonactive area. The introduction of periodically patterned gratings with specific geometric range is highly preferred to redirect the light toward photovoltaic active areas. To realize optimized broadband light diffraction for solar devices, the theoretical analysis of one-dimensional line patterned diffraction gratings was performed through wave-optic-based simulation. Based on the experimental results, the replica molding-based patterning method was adopted to fabricate the grating polymer for low-cost thin-film production. Also, we demonstrated enhanced light collection by grating patterned encapsulants with improved current density in comparison to the performance of a flat surface.","author":[{"dropping-particle":"","family":"Kim","given":"Yeong Jae","non-dropping-particle":"","parse-names":false,"suffix":""},{"dropping-particle":"","family":"Yoo","given":"Young Jin","non-dropping-particle":"","parse-names":false,"suffix":""},{"dropping-particle":"","family":"Yoo","given":"Dong Eun","non-dropping-particle":"","parse-names":false,"suffix":""},{"dropping-particle":"","family":"Lee","given":"Dong Wook","non-dropping-particle":"","parse-names":false,"suffix":""},{"dropping-particle":"","family":"Kim","given":"Min Seok","non-dropping-particle":"","parse-names":false,"suffix":""},{"dropping-particle":"","family":"Jang","given":"Hyuk Jae","non-dropping-particle":"","parse-names":false,"suffix":""},{"dropping-particle":"","family":"Kim","given":"Ye Chan","non-dropping-particle":"","parse-names":false,"suffix":""},{"dropping-particle":"","family":"Jang","given":"Jae Hyung","non-dropping-particle":"","parse-names":false,"suffix":""},{"dropping-particle":"","family":"Kang","given":"Il Suk","non-dropping-particle":"","parse-names":false,"suffix":""},{"dropping-particle":"","family":"Song","given":"Young Min","non-dropping-particle":"","parse-names":false,"suffix":""}],"container-title":"ACS Applied Materials and Interfaces","id":"ITEM-1","issue":"39","issued":{"date-parts":[["2019"]]},"page":"36020-36026","title":"Enhanced Light Harvesting in Photovoltaic Devices Using an Edge-Located One-Dimensional Grating Polydimethylsiloxane Membrane","type":"article-journal","volume":"11"},"uris":["http://www.mendeley.com/documents/?uuid=9dc5ef48-f7da-4dd4-b04e-f7356c6ec21f"]}],"mendeley":{"formattedCitation":"&lt;sup&gt;31&lt;/sup&gt;","plainTextFormattedCitation":"31","previouslyFormattedCitation":"&lt;sup&gt;31&lt;/sup&gt;"},"properties":{"noteIndex":0},"schema":"https://github.com/citation-style-language/schema/raw/master/csl-citation.json"}</w:instrText>
      </w:r>
      <w:r w:rsidRPr="00DC43A2">
        <w:rPr>
          <w:b w:val="0"/>
          <w:bCs w:val="0"/>
        </w:rPr>
        <w:fldChar w:fldCharType="separate"/>
      </w:r>
      <w:r w:rsidRPr="00DC43A2">
        <w:rPr>
          <w:b w:val="0"/>
          <w:bCs w:val="0"/>
          <w:vertAlign w:val="superscript"/>
        </w:rPr>
        <w:t>31</w:t>
      </w:r>
      <w:r w:rsidRPr="00DC43A2">
        <w:rPr>
          <w:b w:val="0"/>
          <w:bCs w:val="0"/>
        </w:rPr>
        <w:fldChar w:fldCharType="end"/>
      </w:r>
      <w:r w:rsidR="00F76B01">
        <w:rPr>
          <w:b w:val="0"/>
          <w:bCs w:val="0"/>
          <w:vertAlign w:val="superscript"/>
        </w:rPr>
        <w:t>]</w:t>
      </w:r>
      <w:r w:rsidRPr="00DC43A2">
        <w:rPr>
          <w:b w:val="0"/>
          <w:bCs w:val="0"/>
        </w:rPr>
        <w:t xml:space="preserve"> In addition, the absorber layer deposited on FTO glass substrate and other ETLs has the same absorption pattern with a prominent absorption peak at ~745 nm, which is attributed to the </w:t>
      </w:r>
      <w:bookmarkStart w:id="5" w:name="_Hlk131067607"/>
      <w:r w:rsidRPr="00DC43A2">
        <w:rPr>
          <w:b w:val="0"/>
          <w:bCs w:val="0"/>
        </w:rPr>
        <w:t>Cs</w:t>
      </w:r>
      <w:r w:rsidRPr="00DC43A2">
        <w:rPr>
          <w:b w:val="0"/>
          <w:bCs w:val="0"/>
          <w:vertAlign w:val="subscript"/>
        </w:rPr>
        <w:t>0.1</w:t>
      </w:r>
      <w:r w:rsidRPr="00DC43A2">
        <w:rPr>
          <w:b w:val="0"/>
          <w:bCs w:val="0"/>
        </w:rPr>
        <w:t>MA</w:t>
      </w:r>
      <w:r w:rsidRPr="00DC43A2">
        <w:rPr>
          <w:b w:val="0"/>
          <w:bCs w:val="0"/>
          <w:vertAlign w:val="subscript"/>
        </w:rPr>
        <w:t>0.9</w:t>
      </w:r>
      <w:r w:rsidRPr="00DC43A2">
        <w:rPr>
          <w:b w:val="0"/>
          <w:bCs w:val="0"/>
        </w:rPr>
        <w:t>Pb(I</w:t>
      </w:r>
      <w:r w:rsidRPr="00DC43A2">
        <w:rPr>
          <w:b w:val="0"/>
          <w:bCs w:val="0"/>
          <w:vertAlign w:val="subscript"/>
        </w:rPr>
        <w:t>0.9</w:t>
      </w:r>
      <w:r w:rsidRPr="00DC43A2">
        <w:rPr>
          <w:b w:val="0"/>
          <w:bCs w:val="0"/>
        </w:rPr>
        <w:t>Br</w:t>
      </w:r>
      <w:r w:rsidRPr="00DC43A2">
        <w:rPr>
          <w:b w:val="0"/>
          <w:bCs w:val="0"/>
          <w:vertAlign w:val="subscript"/>
        </w:rPr>
        <w:t>0.1</w:t>
      </w:r>
      <w:r w:rsidRPr="00DC43A2">
        <w:rPr>
          <w:b w:val="0"/>
          <w:bCs w:val="0"/>
        </w:rPr>
        <w:t>)</w:t>
      </w:r>
      <w:r w:rsidRPr="00DC43A2">
        <w:rPr>
          <w:b w:val="0"/>
          <w:bCs w:val="0"/>
          <w:vertAlign w:val="subscript"/>
        </w:rPr>
        <w:t>3</w:t>
      </w:r>
      <w:r w:rsidRPr="00DC43A2">
        <w:rPr>
          <w:b w:val="0"/>
          <w:bCs w:val="0"/>
        </w:rPr>
        <w:t xml:space="preserve"> perovskite layer</w:t>
      </w:r>
      <w:bookmarkEnd w:id="5"/>
      <w:r w:rsidRPr="00DC43A2">
        <w:rPr>
          <w:b w:val="0"/>
          <w:bCs w:val="0"/>
        </w:rPr>
        <w:t>.</w:t>
      </w:r>
      <w:r w:rsidR="00F76B01">
        <w:rPr>
          <w:b w:val="0"/>
          <w:bCs w:val="0"/>
          <w:vertAlign w:val="superscript"/>
        </w:rPr>
        <w:t>[</w:t>
      </w:r>
      <w:r w:rsidRPr="00DC43A2">
        <w:rPr>
          <w:b w:val="0"/>
          <w:bCs w:val="0"/>
        </w:rPr>
        <w:fldChar w:fldCharType="begin" w:fldLock="1"/>
      </w:r>
      <w:r w:rsidRPr="00DC43A2">
        <w:rPr>
          <w:b w:val="0"/>
          <w:bCs w:val="0"/>
        </w:rPr>
        <w:instrText>ADDIN CSL_CITATION {"citationItems":[{"id":"ITEM-1","itemData":{"DOI":"10.1021/acs.jpclett.2c01356","ISSN":"19487185","abstract":"Perovskite photovoltaics with the advantages of facile fabrication and high efficiency have been the rising star in the field for a decade. Methylammonium lead triiodide (MAPbI3) was the first widely studied perovskite to initiate the boom of perovskite photovoltaics, but it was later considered thermodynamically instable for commercialization. Here, we demonstrate that simple cesium (Cs) doping without any complicated process can form a stable MA-based perovskite with a widened bandgap, which may broaden the application of MA-based perovskites in tandem solar cells. A record-high efficiency of =22% is thus achieved for a 1.6 eV bandgap perovskite solar cell. This work not only provides a new stable and efficient pure iodide candidate as a 1.6 eV bandgap perovskite but also reveals that Cs incorporation can help improve the efficiency and stability of MA-based perovskites.","author":[{"dropping-particle":"","family":"Liu","given":"Xiaomin","non-dropping-particle":"","parse-names":false,"suffix":""},{"dropping-particle":"","family":"Chen","given":"Yuetian","non-dropping-particle":"","parse-names":false,"suffix":""},{"dropping-particle":"","family":"Miao","given":"Yanfeng","non-dropping-particle":"","parse-names":false,"suffix":""},{"dropping-particle":"","family":"Wei","given":"Ning","non-dropping-particle":"","parse-names":false,"suffix":""},{"dropping-particle":"","family":"Chen","given":"Haoran","non-dropping-particle":"","parse-names":false,"suffix":""},{"dropping-particle":"","family":"Qin","given":"Zhixiao","non-dropping-particle":"","parse-names":false,"suffix":""},{"dropping-particle":"","family":"Feng","given":"Menglei","non-dropping-particle":"","parse-names":false,"suffix":""},{"dropping-particle":"","family":"Wang","given":"Yao","non-dropping-particle":"","parse-names":false,"suffix":""},{"dropping-particle":"","family":"Wang","given":"Xingtao","non-dropping-particle":"","parse-names":false,"suffix":""},{"dropping-particle":"","family":"Zhao","given":"Yixin","non-dropping-particle":"","parse-names":false,"suffix":""}],"container-title":"Journal of Physical Chemistry Letters","id":"ITEM-1","issued":{"date-parts":[["2022"]]},"page":"5088-5093","title":"Stable Pure Iodide MA0.95Cs0.05PbI3Perovskite toward Efficient 1.6 eV Bandgap Photovoltaics","type":"article-journal"},"uris":["http://www.mendeley.com/documents/?uuid=225c13ac-52b4-46b3-b288-6c843b50ebce"]}],"mendeley":{"formattedCitation":"&lt;sup&gt;32&lt;/sup&gt;","plainTextFormattedCitation":"32","previouslyFormattedCitation":"&lt;sup&gt;32&lt;/sup&gt;"},"properties":{"noteIndex":0},"schema":"https://github.com/citation-style-language/schema/raw/master/csl-citation.json"}</w:instrText>
      </w:r>
      <w:r w:rsidRPr="00DC43A2">
        <w:rPr>
          <w:b w:val="0"/>
          <w:bCs w:val="0"/>
        </w:rPr>
        <w:fldChar w:fldCharType="separate"/>
      </w:r>
      <w:r w:rsidRPr="00DC43A2">
        <w:rPr>
          <w:b w:val="0"/>
          <w:bCs w:val="0"/>
          <w:vertAlign w:val="superscript"/>
        </w:rPr>
        <w:t>32</w:t>
      </w:r>
      <w:r w:rsidRPr="00DC43A2">
        <w:rPr>
          <w:b w:val="0"/>
          <w:bCs w:val="0"/>
        </w:rPr>
        <w:fldChar w:fldCharType="end"/>
      </w:r>
      <w:r w:rsidR="00F76B01">
        <w:rPr>
          <w:b w:val="0"/>
          <w:bCs w:val="0"/>
          <w:vertAlign w:val="superscript"/>
        </w:rPr>
        <w:t>]</w:t>
      </w:r>
    </w:p>
    <w:p w14:paraId="32706491" w14:textId="77777777" w:rsidR="00DC43A2" w:rsidRDefault="00DC43A2" w:rsidP="00DC43A2">
      <w:pPr>
        <w:pStyle w:val="Head1"/>
      </w:pPr>
    </w:p>
    <w:p w14:paraId="456AF56A" w14:textId="51E42B1D" w:rsidR="00DC43A2" w:rsidRDefault="00DC43A2" w:rsidP="00DC43A2">
      <w:pPr>
        <w:pStyle w:val="Head1"/>
      </w:pPr>
      <w:r>
        <w:rPr>
          <w:noProof/>
        </w:rPr>
        <w:drawing>
          <wp:inline distT="0" distB="0" distL="0" distR="0" wp14:anchorId="3956E049" wp14:editId="5541ACCA">
            <wp:extent cx="5760720" cy="4581525"/>
            <wp:effectExtent l="0" t="0" r="0" b="9525"/>
            <wp:docPr id="1971382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13828" name="Picture 19713828"/>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760720" cy="4581525"/>
                    </a:xfrm>
                    <a:prstGeom prst="rect">
                      <a:avLst/>
                    </a:prstGeom>
                  </pic:spPr>
                </pic:pic>
              </a:graphicData>
            </a:graphic>
          </wp:inline>
        </w:drawing>
      </w:r>
    </w:p>
    <w:p w14:paraId="62C6139A" w14:textId="66563EEF" w:rsidR="00DC43A2" w:rsidRDefault="00DC43A2" w:rsidP="00DC43A2">
      <w:pPr>
        <w:pStyle w:val="Head1"/>
      </w:pPr>
      <w:r w:rsidRPr="00EF4114">
        <w:t xml:space="preserve">Figure </w:t>
      </w:r>
      <w:r w:rsidR="00304930">
        <w:t>3</w:t>
      </w:r>
      <w:r w:rsidRPr="00EF4114">
        <w:t xml:space="preserve">. </w:t>
      </w:r>
      <w:r w:rsidRPr="00DC43A2">
        <w:rPr>
          <w:b w:val="0"/>
          <w:bCs w:val="0"/>
        </w:rPr>
        <w:t>Absorbance spectra of perovskite film coated on FTO glass substrate, ZTO, ZS and bilayer ETLs.</w:t>
      </w:r>
    </w:p>
    <w:p w14:paraId="133746BF" w14:textId="77777777" w:rsidR="00D24FB1" w:rsidRDefault="00D24FB1" w:rsidP="00D24FB1">
      <w:pPr>
        <w:pStyle w:val="Head1"/>
      </w:pPr>
    </w:p>
    <w:p w14:paraId="2B2A0975" w14:textId="6E451B4A" w:rsidR="00DC43A2" w:rsidRPr="00F76B01" w:rsidRDefault="00DC43A2" w:rsidP="00D24FB1">
      <w:pPr>
        <w:pStyle w:val="Head1"/>
        <w:ind w:firstLine="708"/>
        <w:rPr>
          <w:vertAlign w:val="superscript"/>
        </w:rPr>
      </w:pPr>
      <w:r w:rsidRPr="00DC43A2">
        <w:rPr>
          <w:b w:val="0"/>
          <w:bCs w:val="0"/>
        </w:rPr>
        <w:t>The investigation of the electrical properties of ETLs was conducted at room temperature through Hall effect measurements (</w:t>
      </w:r>
      <w:r w:rsidRPr="00572E2C">
        <w:rPr>
          <w:bCs w:val="0"/>
        </w:rPr>
        <w:t>Table S</w:t>
      </w:r>
      <w:r w:rsidR="00DB4B47" w:rsidRPr="00572E2C">
        <w:rPr>
          <w:bCs w:val="0"/>
        </w:rPr>
        <w:t>1</w:t>
      </w:r>
      <w:r w:rsidRPr="00DC43A2">
        <w:rPr>
          <w:b w:val="0"/>
          <w:bCs w:val="0"/>
        </w:rPr>
        <w:t xml:space="preserve">, </w:t>
      </w:r>
      <w:r w:rsidR="00DB4B47">
        <w:rPr>
          <w:b w:val="0"/>
          <w:bCs w:val="0"/>
        </w:rPr>
        <w:t>S</w:t>
      </w:r>
      <w:r w:rsidRPr="00DC43A2">
        <w:rPr>
          <w:b w:val="0"/>
          <w:bCs w:val="0"/>
        </w:rPr>
        <w:t xml:space="preserve">upplementary </w:t>
      </w:r>
      <w:r w:rsidR="00DB4B47">
        <w:rPr>
          <w:b w:val="0"/>
          <w:bCs w:val="0"/>
        </w:rPr>
        <w:t>Information</w:t>
      </w:r>
      <w:r w:rsidRPr="00DC43A2">
        <w:rPr>
          <w:b w:val="0"/>
          <w:bCs w:val="0"/>
        </w:rPr>
        <w:t xml:space="preserve">). The </w:t>
      </w:r>
      <w:r w:rsidRPr="00DC43A2">
        <w:rPr>
          <w:b w:val="0"/>
          <w:bCs w:val="0"/>
        </w:rPr>
        <w:lastRenderedPageBreak/>
        <w:t>negative values of bulk concentration indicate n-type nature of the charge carriers. The electron mobilities of ZTO and ZS ETLs exhibit near-identical values of 15.39 and 15.84 cm</w:t>
      </w:r>
      <w:r w:rsidRPr="00DC43A2">
        <w:rPr>
          <w:b w:val="0"/>
          <w:bCs w:val="0"/>
          <w:vertAlign w:val="superscript"/>
        </w:rPr>
        <w:t>2</w:t>
      </w:r>
      <w:r w:rsidRPr="00DC43A2">
        <w:rPr>
          <w:b w:val="0"/>
          <w:bCs w:val="0"/>
        </w:rPr>
        <w:t>/V</w:t>
      </w:r>
      <w:r w:rsidRPr="00DC43A2">
        <w:rPr>
          <w:b w:val="0"/>
          <w:bCs w:val="0"/>
        </w:rPr>
        <w:sym w:font="Symbol" w:char="F0D7"/>
      </w:r>
      <w:r w:rsidRPr="00DC43A2">
        <w:rPr>
          <w:b w:val="0"/>
          <w:bCs w:val="0"/>
        </w:rPr>
        <w:t>s, respectively, which is consistent with prior studies.</w:t>
      </w:r>
      <w:r w:rsidR="00F76B01">
        <w:rPr>
          <w:b w:val="0"/>
          <w:bCs w:val="0"/>
          <w:vertAlign w:val="superscript"/>
        </w:rPr>
        <w:t>[</w:t>
      </w:r>
      <w:r w:rsidRPr="00DC43A2">
        <w:rPr>
          <w:b w:val="0"/>
          <w:bCs w:val="0"/>
        </w:rPr>
        <w:fldChar w:fldCharType="begin" w:fldLock="1"/>
      </w:r>
      <w:r w:rsidRPr="00DC43A2">
        <w:rPr>
          <w:b w:val="0"/>
          <w:bCs w:val="0"/>
        </w:rPr>
        <w:instrText>ADDIN CSL_CITATION {"citationItems":[{"id":"ITEM-1","itemData":{"DOI":"10.1038/ncomms8410","author":[{"dropping-particle":"","family":"Shin","given":"Seong Sik","non-dropping-particle":"","parse-names":false,"suffix":""},{"dropping-particle":"","family":"Yang","given":"Woon Seok","non-dropping-particle":"","parse-names":false,"suffix":""},{"dropping-particle":"","family":"Noh","given":"Jun Hong","non-dropping-particle":"","parse-names":false,"suffix":""},{"dropping-particle":"","family":"Suk","given":"Jae Ho","non-dropping-particle":"","parse-names":false,"suffix":""},{"dropping-particle":"","family":"Jeon","given":"Nam Joong","non-dropping-particle":"","parse-names":false,"suffix":""},{"dropping-particle":"","family":"Park","given":"Jong Hoon","non-dropping-particle":"","parse-names":false,"suffix":""},{"dropping-particle":"","family":"Kim","given":"Ju Seong","non-dropping-particle":"","parse-names":false,"suffix":""},{"dropping-particle":"","family":"Seong","given":"Won Mo","non-dropping-particle":"","parse-names":false,"suffix":""},{"dropping-particle":"Il","family":"Seok","given":"Sang","non-dropping-particle":"","parse-names":false,"suffix":""}],"container-title":"Nature Communications","id":"ITEM-1","issue":"May","issued":{"date-parts":[["2015"]]},"page":"1-8","publisher":"Nature Publishing Group","title":"High-performance flexible perovskite solar cells exploiting Zn2SnO4 prepared in solution below 100&amp;thinsp;&amp;deg;C","type":"article-journal","volume":"6"},"uris":["http://www.mendeley.com/documents/?uuid=bbe4d838-6cff-4130-8819-09b9c075bd7f"]}],"mendeley":{"formattedCitation":"&lt;sup&gt;33&lt;/sup&gt;","plainTextFormattedCitation":"33","previouslyFormattedCitation":"&lt;sup&gt;33&lt;/sup&gt;"},"properties":{"noteIndex":0},"schema":"https://github.com/citation-style-language/schema/raw/master/csl-citation.json"}</w:instrText>
      </w:r>
      <w:r w:rsidRPr="00DC43A2">
        <w:rPr>
          <w:b w:val="0"/>
          <w:bCs w:val="0"/>
        </w:rPr>
        <w:fldChar w:fldCharType="separate"/>
      </w:r>
      <w:r w:rsidRPr="00DC43A2">
        <w:rPr>
          <w:b w:val="0"/>
          <w:bCs w:val="0"/>
          <w:vertAlign w:val="superscript"/>
        </w:rPr>
        <w:t>33</w:t>
      </w:r>
      <w:r w:rsidRPr="00DC43A2">
        <w:rPr>
          <w:b w:val="0"/>
          <w:bCs w:val="0"/>
        </w:rPr>
        <w:fldChar w:fldCharType="end"/>
      </w:r>
      <w:r w:rsidR="00F76B01">
        <w:rPr>
          <w:b w:val="0"/>
          <w:bCs w:val="0"/>
          <w:vertAlign w:val="superscript"/>
        </w:rPr>
        <w:t>]</w:t>
      </w:r>
      <w:r w:rsidRPr="00DC43A2">
        <w:rPr>
          <w:b w:val="0"/>
          <w:bCs w:val="0"/>
        </w:rPr>
        <w:t xml:space="preserve"> Meanwhile, the mobility of the bilayer ETL is increased to 21.84 cm</w:t>
      </w:r>
      <w:r w:rsidRPr="00DC43A2">
        <w:rPr>
          <w:b w:val="0"/>
          <w:bCs w:val="0"/>
          <w:vertAlign w:val="superscript"/>
        </w:rPr>
        <w:t>2</w:t>
      </w:r>
      <w:r w:rsidRPr="00DC43A2">
        <w:rPr>
          <w:b w:val="0"/>
          <w:bCs w:val="0"/>
        </w:rPr>
        <w:t>/V</w:t>
      </w:r>
      <w:r w:rsidRPr="00DC43A2">
        <w:rPr>
          <w:b w:val="0"/>
          <w:bCs w:val="0"/>
        </w:rPr>
        <w:sym w:font="Symbol" w:char="F0D7"/>
      </w:r>
      <w:r w:rsidRPr="00DC43A2">
        <w:rPr>
          <w:b w:val="0"/>
          <w:bCs w:val="0"/>
        </w:rPr>
        <w:t>s, with a slight enhancement in conductivity. The improvement in charge carrier mobility of bilayer film is attributed to its comparatively smoother coverage as discussed in SEM analysis. This relatively smooth surface reduces scattering and other obstacles that can impede the motion of the charge carriers, thus leading to more effective electron transport and extraction.</w:t>
      </w:r>
      <w:r w:rsidR="00F76B01">
        <w:rPr>
          <w:b w:val="0"/>
          <w:bCs w:val="0"/>
          <w:vertAlign w:val="superscript"/>
        </w:rPr>
        <w:t>[</w:t>
      </w:r>
      <w:r w:rsidRPr="00DC43A2">
        <w:rPr>
          <w:b w:val="0"/>
          <w:bCs w:val="0"/>
        </w:rPr>
        <w:fldChar w:fldCharType="begin" w:fldLock="1"/>
      </w:r>
      <w:r w:rsidRPr="00DC43A2">
        <w:rPr>
          <w:b w:val="0"/>
          <w:bCs w:val="0"/>
        </w:rPr>
        <w:instrText>ADDIN CSL_CITATION {"citationItems":[{"id":"ITEM-1","itemData":{"DOI":"10.1002/admi.201902145","ISSN":"21967350","abstract":"In organic thin-film transistors (TFTs) fabricated in the inverted (bottom-gate) device structure, the surface roughness of the gate dielectric onto which the organic-semiconductor layer is deposited is expected to have a significant effect on the TFT characteristics. To quantitatively evaluate this effect, a method to tune the surface roughness of a gate dielectric consisting of a thin layer of aluminum oxide and an alkylphosphonic acid self-assembled monolayer over a wide range by controlling a single process parameter, namely the substrate temperature during the deposition of the aluminum gate electrodes, is developed. All other process parameters remain constant in the experiments, so that any differences observed in the TFT performance can be confidently ascribed to effects related to the difference in the gate-dielectric surface roughness. It is found that an increase in surface roughness leads to a significant decrease in the effective charge-carrier mobility and an increase in the subthreshold swing. It is shown that a larger gate-dielectric surface roughness leads to a larger density of grain boundaries in the semiconductor layer, which in turn produces a larger density of localized trap states in the semiconductor.","author":[{"dropping-particle":"","family":"Geiger","given":"Michael","non-dropping-particle":"","parse-names":false,"suffix":""},{"dropping-particle":"","family":"Acharya","given":"Rachana","non-dropping-particle":"","parse-names":false,"suffix":""},{"dropping-particle":"","family":"Reutter","given":"Eric","non-dropping-particle":"","parse-names":false,"suffix":""},{"dropping-particle":"","family":"Ferschke","given":"Thomas","non-dropping-particle":"","parse-names":false,"suffix":""},{"dropping-particle":"","family":"Zschieschang","given":"Ute","non-dropping-particle":"","parse-names":false,"suffix":""},{"dropping-particle":"","family":"Weis","given":"Jürgen","non-dropping-particle":"","parse-names":false,"suffix":""},{"dropping-particle":"","family":"Pflaum","given":"Jens","non-dropping-particle":"","parse-names":false,"suffix":""},{"dropping-particle":"","family":"Klauk","given":"Hagen","non-dropping-particle":"","parse-names":false,"suffix":""},{"dropping-particle":"","family":"Weitz","given":"Ralf Thomas","non-dropping-particle":"","parse-names":false,"suffix":""}],"container-title":"Advanced Materials Interfaces","id":"ITEM-1","issue":"10","issued":{"date-parts":[["2020"]]},"title":"Effect of the Degree of the Gate-Dielectric Surface Roughness on the Performance of Bottom-Gate Organic Thin-Film Transistors","type":"article-journal","volume":"7"},"uris":["http://www.mendeley.com/documents/?uuid=730490e3-0dd8-45a4-8592-4024f101531e"]}],"mendeley":{"formattedCitation":"&lt;sup&gt;34&lt;/sup&gt;","plainTextFormattedCitation":"34","previouslyFormattedCitation":"&lt;sup&gt;34&lt;/sup&gt;"},"properties":{"noteIndex":0},"schema":"https://github.com/citation-style-language/schema/raw/master/csl-citation.json"}</w:instrText>
      </w:r>
      <w:r w:rsidRPr="00DC43A2">
        <w:rPr>
          <w:b w:val="0"/>
          <w:bCs w:val="0"/>
        </w:rPr>
        <w:fldChar w:fldCharType="separate"/>
      </w:r>
      <w:r w:rsidRPr="00DC43A2">
        <w:rPr>
          <w:b w:val="0"/>
          <w:bCs w:val="0"/>
          <w:vertAlign w:val="superscript"/>
        </w:rPr>
        <w:t>34</w:t>
      </w:r>
      <w:r w:rsidRPr="00DC43A2">
        <w:rPr>
          <w:b w:val="0"/>
          <w:bCs w:val="0"/>
        </w:rPr>
        <w:fldChar w:fldCharType="end"/>
      </w:r>
      <w:r w:rsidR="00F76B01">
        <w:rPr>
          <w:b w:val="0"/>
          <w:bCs w:val="0"/>
          <w:vertAlign w:val="superscript"/>
        </w:rPr>
        <w:t>]</w:t>
      </w:r>
    </w:p>
    <w:p w14:paraId="63AFFAC8" w14:textId="5680C24C" w:rsidR="00DC43A2" w:rsidRDefault="00EC152D" w:rsidP="00D24FB1">
      <w:pPr>
        <w:pStyle w:val="Head1"/>
        <w:ind w:firstLine="708"/>
        <w:rPr>
          <w:b w:val="0"/>
          <w:bCs w:val="0"/>
          <w:iCs/>
        </w:rPr>
      </w:pPr>
      <w:r w:rsidRPr="00EC152D">
        <w:rPr>
          <w:b w:val="0"/>
          <w:bCs w:val="0"/>
          <w:iCs/>
        </w:rPr>
        <w:t xml:space="preserve">The PL studies were conducted to measure the electron extraction efficiency of each layer from perovskite absorber layer. </w:t>
      </w:r>
      <w:r w:rsidRPr="00DB4B47">
        <w:rPr>
          <w:iCs/>
        </w:rPr>
        <w:t>Figure 4</w:t>
      </w:r>
      <w:r w:rsidRPr="00EC152D">
        <w:rPr>
          <w:b w:val="0"/>
          <w:bCs w:val="0"/>
          <w:iCs/>
        </w:rPr>
        <w:t xml:space="preserve"> illustrates the steady-state PL quenching spectra of perovskite films deposited on different substrates. Interestingly, the PL intensity experienced a gradual decrease, the bilayer ETL exhibiting the lowest values. This implies that bilayer ETL is the most efficient to extract electrons from the perovskite layer as compared to the others</w:t>
      </w:r>
      <w:r>
        <w:rPr>
          <w:b w:val="0"/>
          <w:bCs w:val="0"/>
          <w:iCs/>
        </w:rPr>
        <w:t>.</w:t>
      </w:r>
    </w:p>
    <w:p w14:paraId="431056AD" w14:textId="77777777" w:rsidR="00EC152D" w:rsidRDefault="00EC152D" w:rsidP="00DC43A2">
      <w:pPr>
        <w:pStyle w:val="Head1"/>
        <w:rPr>
          <w:b w:val="0"/>
          <w:bCs w:val="0"/>
          <w:iCs/>
        </w:rPr>
      </w:pPr>
    </w:p>
    <w:p w14:paraId="19D3328B" w14:textId="75597EC2" w:rsidR="00EC152D" w:rsidRPr="00EC152D" w:rsidRDefault="00EC152D" w:rsidP="00DC43A2">
      <w:pPr>
        <w:pStyle w:val="Head1"/>
        <w:rPr>
          <w:b w:val="0"/>
          <w:bCs w:val="0"/>
        </w:rPr>
      </w:pPr>
      <w:r>
        <w:rPr>
          <w:b w:val="0"/>
          <w:bCs w:val="0"/>
          <w:noProof/>
        </w:rPr>
        <w:drawing>
          <wp:inline distT="0" distB="0" distL="0" distR="0" wp14:anchorId="0560D17D" wp14:editId="2DC88731">
            <wp:extent cx="5727079" cy="4857115"/>
            <wp:effectExtent l="0" t="0" r="6985" b="635"/>
            <wp:docPr id="188351935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3519353" name="Picture 3"/>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27079" cy="4857115"/>
                    </a:xfrm>
                    <a:prstGeom prst="rect">
                      <a:avLst/>
                    </a:prstGeom>
                  </pic:spPr>
                </pic:pic>
              </a:graphicData>
            </a:graphic>
          </wp:inline>
        </w:drawing>
      </w:r>
    </w:p>
    <w:p w14:paraId="08AE54B1" w14:textId="4AA61CAE" w:rsidR="00B453F9" w:rsidRDefault="00EC152D" w:rsidP="00B453F9">
      <w:pPr>
        <w:pStyle w:val="Legend"/>
        <w:spacing w:line="360" w:lineRule="auto"/>
      </w:pPr>
      <w:r w:rsidRPr="00480365">
        <w:rPr>
          <w:b/>
        </w:rPr>
        <w:lastRenderedPageBreak/>
        <w:t xml:space="preserve">Figure </w:t>
      </w:r>
      <w:r w:rsidR="00304930" w:rsidRPr="00480365">
        <w:rPr>
          <w:b/>
        </w:rPr>
        <w:t>4</w:t>
      </w:r>
      <w:r w:rsidRPr="00480365">
        <w:rPr>
          <w:b/>
        </w:rPr>
        <w:t>.</w:t>
      </w:r>
      <w:r w:rsidRPr="00480365">
        <w:t xml:space="preserve"> </w:t>
      </w:r>
      <w:r w:rsidR="005F151B" w:rsidRPr="00480365">
        <w:rPr>
          <w:bCs/>
          <w:iCs/>
          <w:lang w:val="en-GB"/>
        </w:rPr>
        <w:t>Photoluminescence (PL) spectra of the perovskite film deposited on FTO glass substrate, ZTO, ZS and bilayer ETLs</w:t>
      </w:r>
      <w:r w:rsidR="005F151B" w:rsidRPr="00480365">
        <w:t>.</w:t>
      </w:r>
      <w:r w:rsidR="002D0C72">
        <w:t xml:space="preserve"> </w:t>
      </w:r>
      <w:r w:rsidR="002D0C72" w:rsidRPr="00480365">
        <w:t>The dotted line in correspondence of the peak is just a guide to the eyes to exclude the presence of a red shift.</w:t>
      </w:r>
    </w:p>
    <w:p w14:paraId="343D71BE" w14:textId="77777777" w:rsidR="005F151B" w:rsidRDefault="005F151B" w:rsidP="00B453F9">
      <w:pPr>
        <w:pStyle w:val="Legend"/>
        <w:spacing w:line="360" w:lineRule="auto"/>
      </w:pPr>
    </w:p>
    <w:p w14:paraId="4B7327C6" w14:textId="5D3A65AB" w:rsidR="005F151B" w:rsidRDefault="005F151B" w:rsidP="00D24FB1">
      <w:pPr>
        <w:pStyle w:val="Legend"/>
        <w:spacing w:line="360" w:lineRule="auto"/>
        <w:ind w:firstLine="708"/>
        <w:rPr>
          <w:bCs/>
          <w:iCs/>
        </w:rPr>
      </w:pPr>
      <w:r w:rsidRPr="005F151B">
        <w:rPr>
          <w:bCs/>
          <w:iCs/>
        </w:rPr>
        <w:t xml:space="preserve">Contact angle analysis was conducted in order to study the hydrophilic nature and wettability of the different layers. </w:t>
      </w:r>
      <w:r w:rsidRPr="00DB4B47">
        <w:rPr>
          <w:b/>
          <w:iCs/>
        </w:rPr>
        <w:t>Figure 5</w:t>
      </w:r>
      <w:r w:rsidRPr="005F151B">
        <w:rPr>
          <w:bCs/>
          <w:iCs/>
        </w:rPr>
        <w:t xml:space="preserve"> shows the water contact angle values of the analyzed ETLs and of the perovskite film deposited onto them. The bare glass substrate highlighted a fairly hydrophilic character with a contact angle of 30.90° (</w:t>
      </w:r>
      <w:bookmarkStart w:id="6" w:name="_Hlk172328702"/>
      <w:r w:rsidRPr="00572E2C">
        <w:rPr>
          <w:b/>
          <w:bCs/>
          <w:iCs/>
        </w:rPr>
        <w:t>Fig</w:t>
      </w:r>
      <w:r w:rsidR="00DB4B47" w:rsidRPr="00572E2C">
        <w:rPr>
          <w:b/>
          <w:bCs/>
          <w:iCs/>
        </w:rPr>
        <w:t>ure S2</w:t>
      </w:r>
      <w:r w:rsidRPr="005F151B">
        <w:rPr>
          <w:bCs/>
          <w:iCs/>
        </w:rPr>
        <w:t>a,</w:t>
      </w:r>
      <w:r w:rsidR="00DB4B47">
        <w:rPr>
          <w:bCs/>
          <w:iCs/>
        </w:rPr>
        <w:t xml:space="preserve"> S</w:t>
      </w:r>
      <w:r w:rsidRPr="005F151B">
        <w:rPr>
          <w:bCs/>
          <w:iCs/>
        </w:rPr>
        <w:t xml:space="preserve">upplementary </w:t>
      </w:r>
      <w:bookmarkEnd w:id="6"/>
      <w:r w:rsidR="00DB4B47">
        <w:rPr>
          <w:bCs/>
          <w:iCs/>
        </w:rPr>
        <w:t>Information</w:t>
      </w:r>
      <w:r w:rsidRPr="005F151B">
        <w:rPr>
          <w:bCs/>
          <w:iCs/>
        </w:rPr>
        <w:t>). The contact angle reduced significantly with the deposition of ETLs indicating increased hydrophilicity. Notably, the bilayer ETL exhibited the minimum contact angle of 13.00</w:t>
      </w:r>
      <w:r w:rsidRPr="005F151B">
        <w:rPr>
          <w:bCs/>
          <w:iCs/>
          <w:lang w:val="de-DE"/>
        </w:rPr>
        <w:sym w:font="Symbol" w:char="F0B0"/>
      </w:r>
      <w:r w:rsidRPr="005F151B">
        <w:rPr>
          <w:bCs/>
          <w:iCs/>
        </w:rPr>
        <w:t xml:space="preserve"> which is beneficial for subsequent deposition of</w:t>
      </w:r>
      <w:r w:rsidR="00572E2C">
        <w:rPr>
          <w:bCs/>
          <w:iCs/>
        </w:rPr>
        <w:t xml:space="preserve"> </w:t>
      </w:r>
      <w:r w:rsidRPr="005F151B">
        <w:rPr>
          <w:bCs/>
          <w:iCs/>
        </w:rPr>
        <w:t>Cs</w:t>
      </w:r>
      <w:r w:rsidRPr="005F151B">
        <w:rPr>
          <w:bCs/>
          <w:iCs/>
          <w:vertAlign w:val="subscript"/>
        </w:rPr>
        <w:t>0.1</w:t>
      </w:r>
      <w:r w:rsidRPr="005F151B">
        <w:rPr>
          <w:bCs/>
          <w:iCs/>
        </w:rPr>
        <w:t>MA</w:t>
      </w:r>
      <w:r w:rsidRPr="005F151B">
        <w:rPr>
          <w:bCs/>
          <w:iCs/>
          <w:vertAlign w:val="subscript"/>
        </w:rPr>
        <w:t>0.9</w:t>
      </w:r>
      <w:r w:rsidRPr="005F151B">
        <w:rPr>
          <w:bCs/>
          <w:iCs/>
        </w:rPr>
        <w:t>Pb(I</w:t>
      </w:r>
      <w:r w:rsidRPr="005F151B">
        <w:rPr>
          <w:bCs/>
          <w:iCs/>
          <w:vertAlign w:val="subscript"/>
        </w:rPr>
        <w:t>0.9</w:t>
      </w:r>
      <w:r w:rsidRPr="005F151B">
        <w:rPr>
          <w:bCs/>
          <w:iCs/>
        </w:rPr>
        <w:t>Br</w:t>
      </w:r>
      <w:r w:rsidRPr="005F151B">
        <w:rPr>
          <w:bCs/>
          <w:iCs/>
          <w:vertAlign w:val="subscript"/>
        </w:rPr>
        <w:t>0.1</w:t>
      </w:r>
      <w:r w:rsidRPr="005F151B">
        <w:rPr>
          <w:bCs/>
          <w:iCs/>
        </w:rPr>
        <w:t>)</w:t>
      </w:r>
      <w:r w:rsidRPr="005F151B">
        <w:rPr>
          <w:bCs/>
          <w:iCs/>
          <w:vertAlign w:val="subscript"/>
        </w:rPr>
        <w:t xml:space="preserve">3 </w:t>
      </w:r>
      <w:r w:rsidRPr="005F151B">
        <w:rPr>
          <w:bCs/>
          <w:iCs/>
        </w:rPr>
        <w:t>perovskite film as it leads to an increase in surface energy and expedites the crystallization process for the growth of perovskite structure.</w:t>
      </w:r>
      <w:r w:rsidR="00F76B01">
        <w:rPr>
          <w:bCs/>
          <w:iCs/>
          <w:vertAlign w:val="superscript"/>
        </w:rPr>
        <w:t>[</w:t>
      </w:r>
      <w:r w:rsidRPr="005F151B">
        <w:rPr>
          <w:bCs/>
          <w:iCs/>
          <w:lang w:val="de-DE"/>
        </w:rPr>
        <w:fldChar w:fldCharType="begin" w:fldLock="1"/>
      </w:r>
      <w:r w:rsidRPr="005F151B">
        <w:rPr>
          <w:bCs/>
          <w:iCs/>
        </w:rPr>
        <w:instrText>ADDIN CSL_CITATION {"citationItems":[{"id":"ITEM-1","itemData":{"DOI":"10.1021/acsomega.2c00965","ISSN":"24701343","abstract":"Perovskite solar cells (PSCs) based on a planar structure have recently become more attractive due to their simple manufacturing process and relatively low cost, while most perovskite solar cells employ highly porous TiO2as an electron transport layer in mesoporous devices offering higher energy conversion efficiency (PCE). In planar structural devices, non-radiative recombination effects of the absorber layer and the electron transport layer cause potential loss and lower PCE. We created an efficient electron transport layer by combining low-temperature Ni-doped SnO2with SDBS as a surfactant (denoted as Ni:SnO2). Doping Ni+into low-temperature solution-processed SnO2increased the power conversion efficiency of PSCs from 17.8 to 19.7%.","author":[{"dropping-particle":"V.","family":"Quy","given":"Hoang","non-dropping-particle":"","parse-names":false,"suffix":""},{"dropping-particle":"","family":"Bark","given":"Chung W.","non-dropping-particle":"","parse-names":false,"suffix":""}],"container-title":"ACS Omega","id":"ITEM-1","issue":"26","issued":{"date-parts":[["2022"]]},"page":"22256-22262","title":"Ni-Doped SnO2as an Electron Transport Layer by a Low-Temperature Process in Planar Perovskite Solar Cells","type":"article-journal","volume":"7"},"uris":["http://www.mendeley.com/documents/?uuid=96ef6304-2c9a-405e-9187-d5f29be26a78"]}],"mendeley":{"formattedCitation":"&lt;sup&gt;35&lt;/sup&gt;","plainTextFormattedCitation":"35","previouslyFormattedCitation":"&lt;sup&gt;35&lt;/sup&gt;"},"properties":{"noteIndex":0},"schema":"https://github.com/citation-style-language/schema/raw/master/csl-citation.json"}</w:instrText>
      </w:r>
      <w:r w:rsidRPr="005F151B">
        <w:rPr>
          <w:bCs/>
          <w:iCs/>
          <w:lang w:val="de-DE"/>
        </w:rPr>
        <w:fldChar w:fldCharType="separate"/>
      </w:r>
      <w:r w:rsidRPr="005F151B">
        <w:rPr>
          <w:bCs/>
          <w:iCs/>
          <w:vertAlign w:val="superscript"/>
        </w:rPr>
        <w:t>35</w:t>
      </w:r>
      <w:r w:rsidRPr="005F151B">
        <w:fldChar w:fldCharType="end"/>
      </w:r>
      <w:r w:rsidR="00F76B01">
        <w:rPr>
          <w:vertAlign w:val="superscript"/>
        </w:rPr>
        <w:t>]</w:t>
      </w:r>
      <w:r w:rsidRPr="005F151B">
        <w:rPr>
          <w:bCs/>
          <w:iCs/>
        </w:rPr>
        <w:t xml:space="preserve"> The lower water contact angle is also due to smooth and uniformly deposited bilayer ETL visible through SEM</w:t>
      </w:r>
      <w:r>
        <w:rPr>
          <w:bCs/>
          <w:iCs/>
        </w:rPr>
        <w:t>.</w:t>
      </w:r>
    </w:p>
    <w:p w14:paraId="5A9D3FA2" w14:textId="77777777" w:rsidR="005F151B" w:rsidRDefault="005F151B" w:rsidP="00B453F9">
      <w:pPr>
        <w:pStyle w:val="Legend"/>
        <w:spacing w:line="360" w:lineRule="auto"/>
        <w:rPr>
          <w:bCs/>
          <w:iCs/>
        </w:rPr>
      </w:pPr>
    </w:p>
    <w:p w14:paraId="3A153B30" w14:textId="34A98515" w:rsidR="005F151B" w:rsidRPr="005F151B" w:rsidRDefault="005F151B" w:rsidP="00B453F9">
      <w:pPr>
        <w:pStyle w:val="Legend"/>
        <w:spacing w:line="360" w:lineRule="auto"/>
      </w:pPr>
      <w:r>
        <w:rPr>
          <w:noProof/>
        </w:rPr>
        <w:drawing>
          <wp:inline distT="0" distB="0" distL="0" distR="0" wp14:anchorId="666340A8" wp14:editId="71EB5036">
            <wp:extent cx="5760720" cy="2807335"/>
            <wp:effectExtent l="0" t="0" r="0" b="0"/>
            <wp:docPr id="124989868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9898682" name="Picture 1249898682"/>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60720" cy="2807335"/>
                    </a:xfrm>
                    <a:prstGeom prst="rect">
                      <a:avLst/>
                    </a:prstGeom>
                  </pic:spPr>
                </pic:pic>
              </a:graphicData>
            </a:graphic>
          </wp:inline>
        </w:drawing>
      </w:r>
    </w:p>
    <w:p w14:paraId="7C4B6F2F" w14:textId="2F02A110" w:rsidR="005F151B" w:rsidRPr="005F151B" w:rsidRDefault="005F151B" w:rsidP="00572E2C">
      <w:pPr>
        <w:pStyle w:val="Legend"/>
        <w:spacing w:line="360" w:lineRule="auto"/>
        <w:rPr>
          <w:bCs/>
          <w:iCs/>
          <w:lang w:bidi="en-US"/>
        </w:rPr>
      </w:pPr>
      <w:r w:rsidRPr="00EF4114">
        <w:rPr>
          <w:b/>
        </w:rPr>
        <w:t xml:space="preserve">Figure </w:t>
      </w:r>
      <w:r w:rsidR="00304930">
        <w:rPr>
          <w:b/>
        </w:rPr>
        <w:t>5</w:t>
      </w:r>
      <w:r w:rsidRPr="00EF4114">
        <w:rPr>
          <w:b/>
        </w:rPr>
        <w:t>.</w:t>
      </w:r>
      <w:r w:rsidRPr="00EF4114">
        <w:t xml:space="preserve"> </w:t>
      </w:r>
      <w:r w:rsidRPr="00DB4B47">
        <w:rPr>
          <w:bCs/>
          <w:iCs/>
          <w:lang w:bidi="en-US"/>
        </w:rPr>
        <w:t>Water contact angle of (a) ZTO ETL, (b) ZS ETL and (c) bilayer ETL. Water contact angle of Cs</w:t>
      </w:r>
      <w:r w:rsidRPr="00DB4B47">
        <w:rPr>
          <w:bCs/>
          <w:iCs/>
          <w:vertAlign w:val="subscript"/>
          <w:lang w:bidi="en-US"/>
        </w:rPr>
        <w:t>0.1</w:t>
      </w:r>
      <w:r w:rsidRPr="00DB4B47">
        <w:rPr>
          <w:bCs/>
          <w:iCs/>
          <w:lang w:bidi="en-US"/>
        </w:rPr>
        <w:t>MA</w:t>
      </w:r>
      <w:r w:rsidRPr="00DB4B47">
        <w:rPr>
          <w:bCs/>
          <w:iCs/>
          <w:vertAlign w:val="subscript"/>
          <w:lang w:bidi="en-US"/>
        </w:rPr>
        <w:t>0.9</w:t>
      </w:r>
      <w:r w:rsidRPr="00DB4B47">
        <w:rPr>
          <w:bCs/>
          <w:iCs/>
          <w:lang w:bidi="en-US"/>
        </w:rPr>
        <w:t>Pb(I</w:t>
      </w:r>
      <w:r w:rsidRPr="00DB4B47">
        <w:rPr>
          <w:bCs/>
          <w:iCs/>
          <w:vertAlign w:val="subscript"/>
          <w:lang w:bidi="en-US"/>
        </w:rPr>
        <w:t>0.9</w:t>
      </w:r>
      <w:r w:rsidRPr="00DB4B47">
        <w:rPr>
          <w:bCs/>
          <w:iCs/>
          <w:lang w:bidi="en-US"/>
        </w:rPr>
        <w:t>Br</w:t>
      </w:r>
      <w:r w:rsidRPr="00DB4B47">
        <w:rPr>
          <w:bCs/>
          <w:iCs/>
          <w:vertAlign w:val="subscript"/>
          <w:lang w:bidi="en-US"/>
        </w:rPr>
        <w:t>0.1</w:t>
      </w:r>
      <w:r w:rsidRPr="00DB4B47">
        <w:rPr>
          <w:bCs/>
          <w:iCs/>
          <w:lang w:bidi="en-US"/>
        </w:rPr>
        <w:t>)</w:t>
      </w:r>
      <w:r w:rsidRPr="00DB4B47">
        <w:rPr>
          <w:bCs/>
          <w:iCs/>
          <w:vertAlign w:val="subscript"/>
          <w:lang w:bidi="en-US"/>
        </w:rPr>
        <w:t>3</w:t>
      </w:r>
      <w:r w:rsidRPr="00DB4B47">
        <w:rPr>
          <w:bCs/>
          <w:iCs/>
          <w:lang w:bidi="en-US"/>
        </w:rPr>
        <w:t xml:space="preserve"> perovskite film deposited on (d) ZTO ETL, (e) ZS ETL and (f) bilayer</w:t>
      </w:r>
      <w:r w:rsidRPr="005F151B">
        <w:rPr>
          <w:bCs/>
          <w:iCs/>
          <w:lang w:bidi="en-US"/>
        </w:rPr>
        <w:t xml:space="preserve"> ETL.</w:t>
      </w:r>
    </w:p>
    <w:p w14:paraId="13AC6ED8" w14:textId="77777777" w:rsidR="005F151B" w:rsidRDefault="005F151B" w:rsidP="00B453F9">
      <w:pPr>
        <w:pStyle w:val="Legend"/>
        <w:spacing w:line="360" w:lineRule="auto"/>
      </w:pPr>
    </w:p>
    <w:p w14:paraId="2BD3B80C" w14:textId="18CA8306" w:rsidR="005F151B" w:rsidRPr="005F151B" w:rsidRDefault="005F151B" w:rsidP="005F151B">
      <w:pPr>
        <w:spacing w:line="360" w:lineRule="auto"/>
        <w:ind w:firstLine="708"/>
        <w:rPr>
          <w:bCs/>
          <w:iCs/>
          <w:vertAlign w:val="superscript"/>
          <w:lang w:val="en-US" w:bidi="en-US"/>
        </w:rPr>
      </w:pPr>
      <w:r w:rsidRPr="005F151B">
        <w:rPr>
          <w:bCs/>
          <w:iCs/>
          <w:lang w:val="en-US" w:bidi="en-US"/>
        </w:rPr>
        <w:t>Moreover, morphological analysis suggested that larger crystallite size in perovskite layer can result in fewer grain boundaries, which reduces the potential sites for moisture-induced degradation and improves the layer's resistance against moisture.</w:t>
      </w:r>
      <w:r w:rsidR="00F76B01">
        <w:rPr>
          <w:bCs/>
          <w:iCs/>
          <w:vertAlign w:val="superscript"/>
          <w:lang w:val="en-US" w:bidi="en-US"/>
        </w:rPr>
        <w:t>[</w:t>
      </w:r>
      <w:r w:rsidRPr="005F151B">
        <w:rPr>
          <w:bCs/>
          <w:iCs/>
          <w:lang w:val="en-US" w:bidi="en-US"/>
        </w:rPr>
        <w:fldChar w:fldCharType="begin" w:fldLock="1"/>
      </w:r>
      <w:r w:rsidRPr="005F151B">
        <w:rPr>
          <w:bCs/>
          <w:iCs/>
          <w:lang w:val="en-US" w:bidi="en-US"/>
        </w:rPr>
        <w:instrText>ADDIN CSL_CITATION {"citationItems":[{"id":"ITEM-1","itemData":{"DOI":"10.1007/s10854-018-00628-8","ISBN":"0123456789","ISSN":"1573482X","abstract":"Perovskite solar cells (PSCs) have attracted intense research interest in the last few years due to their excellent properties. However, the trap states at grain boundary (GBs) of perovskite films lead to charge recombination and perovskite film decomposition, which deteriorate the stability of PSCs. It has been demonstrated that the GBs passivation is an effective way to eliminate trap states and enhance the stability of PSCs. In this work, ethyl acetate (EA) and chlorobenzene (CB) were used as anti-solvent, mixing with phenyl-C 61 -butyric acid methyl ester (PC 61 BM) to replace pure antisolvent CB to control the GBs passivation of perovskite film. Meanwhile, enhanced interfacial hydrophobic characteristic effectively restricted the penetration of moisture. Correspondingly, with optimizing the volume ratio of EA/CB, the power conversion efficiency of PSCs based on CH 3 NH 3 PbI 3 increased from 14.4 to 16.1% and the stability is greatly improved. This shows the adoption of a mixed solvent for EA and CB contained PC 61 BM as the solute can be used as an efficient tactic to passivate the surface crystal boundary, improve charge carrier transportation and device performance.","author":[{"dropping-particle":"","family":"Mao","given":"Hanying","non-dropping-particle":"","parse-names":false,"suffix":""},{"dropping-particle":"","family":"Huang","given":"Yuelong","non-dropping-particle":"","parse-names":false,"suffix":""},{"dropping-particle":"","family":"Ma","given":"Zhu","non-dropping-particle":"","parse-names":false,"suffix":""},{"dropping-particle":"","family":"Jin","given":"Lifen","non-dropping-particle":"","parse-names":false,"suffix":""},{"dropping-particle":"","family":"Tian","given":"Liuwen","non-dropping-particle":"","parse-names":false,"suffix":""},{"dropping-particle":"","family":"Li","given":"Yuepeng","non-dropping-particle":"","parse-names":false,"suffix":""},{"dropping-particle":"","family":"Yu","given":"Hua","non-dropping-particle":"","parse-names":false,"suffix":""},{"dropping-particle":"","family":"Peng","given":"Changtao","non-dropping-particle":"","parse-names":false,"suffix":""}],"container-title":"Journal of Materials Science: Materials in Electronics","id":"ITEM-1","issue":"4","issued":{"date-parts":[["2019"]]},"page":"3511-3520","publisher":"Springer US","title":"Surface grain boundary passivation via mixed antisolvent and PC 61 BM assistant for stable perovskite solar cells","type":"article-journal","volume":"30"},"uris":["http://www.mendeley.com/documents/?uuid=349bc0f4-e6e4-4a87-ab73-4086e5a13ec7"]}],"mendeley":{"formattedCitation":"&lt;sup&gt;36&lt;/sup&gt;","plainTextFormattedCitation":"36","previouslyFormattedCitation":"&lt;sup&gt;36&lt;/sup&gt;"},"properties":{"noteIndex":0},"schema":"https://github.com/citation-style-language/schema/raw/master/csl-citation.json"}</w:instrText>
      </w:r>
      <w:r w:rsidRPr="005F151B">
        <w:rPr>
          <w:bCs/>
          <w:iCs/>
          <w:lang w:val="en-US" w:bidi="en-US"/>
        </w:rPr>
        <w:fldChar w:fldCharType="separate"/>
      </w:r>
      <w:r w:rsidRPr="005F151B">
        <w:rPr>
          <w:bCs/>
          <w:iCs/>
          <w:vertAlign w:val="superscript"/>
          <w:lang w:val="en-US" w:bidi="en-US"/>
        </w:rPr>
        <w:t>36</w:t>
      </w:r>
      <w:r w:rsidRPr="005F151B">
        <w:rPr>
          <w:lang w:val="en-US"/>
        </w:rPr>
        <w:fldChar w:fldCharType="end"/>
      </w:r>
      <w:r w:rsidR="00F76B01">
        <w:rPr>
          <w:vertAlign w:val="superscript"/>
          <w:lang w:val="en-US"/>
        </w:rPr>
        <w:t>]</w:t>
      </w:r>
      <w:r w:rsidRPr="005F151B">
        <w:rPr>
          <w:bCs/>
          <w:iCs/>
          <w:lang w:val="en-US" w:bidi="en-US"/>
        </w:rPr>
        <w:t xml:space="preserve"> From </w:t>
      </w:r>
      <w:r w:rsidRPr="00572E2C">
        <w:rPr>
          <w:iCs/>
          <w:lang w:val="en-US" w:bidi="en-US"/>
        </w:rPr>
        <w:t>Fig</w:t>
      </w:r>
      <w:r w:rsidR="00DB4B47" w:rsidRPr="00572E2C">
        <w:rPr>
          <w:iCs/>
          <w:lang w:val="en-US" w:bidi="en-US"/>
        </w:rPr>
        <w:t>ure</w:t>
      </w:r>
      <w:r w:rsidRPr="00572E2C">
        <w:rPr>
          <w:iCs/>
          <w:lang w:val="en-US" w:bidi="en-US"/>
        </w:rPr>
        <w:t xml:space="preserve"> 5</w:t>
      </w:r>
      <w:r w:rsidRPr="005F151B">
        <w:rPr>
          <w:bCs/>
          <w:iCs/>
          <w:lang w:val="en-US" w:bidi="en-US"/>
        </w:rPr>
        <w:t>d-</w:t>
      </w:r>
      <w:r w:rsidRPr="005F151B">
        <w:rPr>
          <w:bCs/>
          <w:iCs/>
          <w:lang w:val="en-US" w:bidi="en-US"/>
        </w:rPr>
        <w:lastRenderedPageBreak/>
        <w:t>f, it can be observed that the contact angle for perovskite film grown on different ETL samples, particularly bilayer ETL, is remarkably greater than the pristine perovskite film (Fig</w:t>
      </w:r>
      <w:r w:rsidR="00DB4B47">
        <w:rPr>
          <w:bCs/>
          <w:iCs/>
          <w:lang w:val="en-US" w:bidi="en-US"/>
        </w:rPr>
        <w:t>ure</w:t>
      </w:r>
      <w:r w:rsidRPr="005F151B">
        <w:rPr>
          <w:bCs/>
          <w:iCs/>
          <w:lang w:val="en-US" w:bidi="en-US"/>
        </w:rPr>
        <w:t xml:space="preserve"> S</w:t>
      </w:r>
      <w:r w:rsidR="00DB4B47">
        <w:rPr>
          <w:bCs/>
          <w:iCs/>
          <w:lang w:val="en-US" w:bidi="en-US"/>
        </w:rPr>
        <w:t>2</w:t>
      </w:r>
      <w:r w:rsidRPr="005F151B">
        <w:rPr>
          <w:bCs/>
          <w:iCs/>
          <w:lang w:val="en-US" w:bidi="en-US"/>
        </w:rPr>
        <w:t xml:space="preserve">b, </w:t>
      </w:r>
      <w:r w:rsidR="00DB4B47">
        <w:rPr>
          <w:bCs/>
          <w:iCs/>
          <w:lang w:val="en-US" w:bidi="en-US"/>
        </w:rPr>
        <w:t>Su</w:t>
      </w:r>
      <w:r w:rsidRPr="005F151B">
        <w:rPr>
          <w:bCs/>
          <w:iCs/>
          <w:lang w:val="en-US" w:bidi="en-US"/>
        </w:rPr>
        <w:t xml:space="preserve">pplementary </w:t>
      </w:r>
      <w:r w:rsidR="00DB4B47">
        <w:rPr>
          <w:bCs/>
          <w:iCs/>
          <w:lang w:val="en-US" w:bidi="en-US"/>
        </w:rPr>
        <w:t>Information</w:t>
      </w:r>
      <w:r w:rsidRPr="005F151B">
        <w:rPr>
          <w:bCs/>
          <w:iCs/>
          <w:lang w:val="en-US" w:bidi="en-US"/>
        </w:rPr>
        <w:t>), which indicates a higher resistance to erosion by moisture and, consequently, a higher level of device stability.</w:t>
      </w:r>
      <w:r w:rsidR="00F76B01">
        <w:rPr>
          <w:bCs/>
          <w:iCs/>
          <w:vertAlign w:val="superscript"/>
          <w:lang w:val="en-US" w:bidi="en-US"/>
        </w:rPr>
        <w:t>[</w:t>
      </w:r>
      <w:r w:rsidRPr="005F151B">
        <w:rPr>
          <w:bCs/>
          <w:iCs/>
          <w:lang w:val="en-US" w:bidi="en-US"/>
        </w:rPr>
        <w:fldChar w:fldCharType="begin" w:fldLock="1"/>
      </w:r>
      <w:r w:rsidRPr="005F151B">
        <w:rPr>
          <w:bCs/>
          <w:iCs/>
          <w:lang w:val="en-US" w:bidi="en-US"/>
        </w:rPr>
        <w:instrText>ADDIN CSL_CITATION {"citationItems":[{"id":"ITEM-1","itemData":{"DOI":"10.1039/d0tc02226h","ISSN":"20507526","abstract":"Carbon-based hole transport layer (HTL)-free perovskite solar cells (PSCs), wherein carbon layers effectively function as both HTLs and back electrodes, have attracted widespread interest due to their outstanding advantages. However, the power conversion efficiency (PCE) remains much lower as compared to the state-of-the-art PSCs with conventional organic HTLs and noble metal electrodes, mainly due to the intrinsically inferior contact at the perovskite/carbon interface and high sheet resistance of carbon electrodes. To deal with these issues, C-based HTL-free PSCs with a modular design were fabricated, i.e., the final PSCs were assembled by two individual elements (semi-cell A and charge collector B) under pressure. Moreover, the mixed perovskite active layers were obtained using a modified anti-solvent dripping method, in which the oxidized multi-walled carbon nanotubes (O-MWCNTs) were dispersed in an anti-solvent solution and its concentration was optimized for the best overall performance. Results indicated that the contact quality at the perovskite/carbon interface was remarkably improved by using this innovative method; the corresponding mechanism was attributed to the penetration of O-MWCNTs into both layers and the formation of a perovskite/carbon hetero-junction, thus forming a fast hole transport pathway from a perovskite to a carbon electrode with reduced recombination loss. As a result, the PCE increased up to 8.99%, and the unencapsulated PSCs retained 80% of their initial PCE under ambient conditions without intentionally controlling humidity for 500 h. We reported a feasible and effective strategy to improve the perovskite/carbon interface in C-based HTL-free PSCs. This journal is","author":[{"dropping-particle":"","family":"Chen","given":"Ransheng","non-dropping-particle":"","parse-names":false,"suffix":""},{"dropping-particle":"","family":"Feng","given":"Yulin","non-dropping-particle":"","parse-names":false,"suffix":""},{"dropping-particle":"","family":"Zhang","given":"Chunyang","non-dropping-particle":"","parse-names":false,"suffix":""},{"dropping-particle":"","family":"Wang","given":"Minhuan","non-dropping-particle":"","parse-names":false,"suffix":""},{"dropping-particle":"","family":"Jing","given":"Liu","non-dropping-particle":"","parse-names":false,"suffix":""},{"dropping-particle":"","family":"Ma","given":"Congcong","non-dropping-particle":"","parse-names":false,"suffix":""},{"dropping-particle":"","family":"Bian","given":"Jiming","non-dropping-particle":"","parse-names":false,"suffix":""},{"dropping-particle":"","family":"Shi","given":"Yantao","non-dropping-particle":"","parse-names":false,"suffix":""}],"container-title":"Journal of Materials Chemistry C","id":"ITEM-1","issue":"27","issued":{"date-parts":[["2020"]]},"page":"9262-9270","title":"Carbon-based HTL-free modular perovskite solar cells with improved contact at perovskite/carbon interfaces","type":"article-journal","volume":"8"},"uris":["http://www.mendeley.com/documents/?uuid=386da7aa-6a31-41ba-9518-e011007089f5"]}],"mendeley":{"formattedCitation":"&lt;sup&gt;37&lt;/sup&gt;","plainTextFormattedCitation":"37","previouslyFormattedCitation":"&lt;sup&gt;37&lt;/sup&gt;"},"properties":{"noteIndex":0},"schema":"https://github.com/citation-style-language/schema/raw/master/csl-citation.json"}</w:instrText>
      </w:r>
      <w:r w:rsidRPr="005F151B">
        <w:rPr>
          <w:bCs/>
          <w:iCs/>
          <w:lang w:val="en-US" w:bidi="en-US"/>
        </w:rPr>
        <w:fldChar w:fldCharType="separate"/>
      </w:r>
      <w:r w:rsidRPr="005F151B">
        <w:rPr>
          <w:bCs/>
          <w:iCs/>
          <w:vertAlign w:val="superscript"/>
          <w:lang w:val="en-US" w:bidi="en-US"/>
        </w:rPr>
        <w:t>37</w:t>
      </w:r>
      <w:r w:rsidRPr="005F151B">
        <w:rPr>
          <w:lang w:val="en-US"/>
        </w:rPr>
        <w:fldChar w:fldCharType="end"/>
      </w:r>
      <w:r w:rsidR="00F76B01">
        <w:rPr>
          <w:vertAlign w:val="superscript"/>
          <w:lang w:val="en-US"/>
        </w:rPr>
        <w:t>]</w:t>
      </w:r>
    </w:p>
    <w:p w14:paraId="1866F70B" w14:textId="77777777" w:rsidR="005F151B" w:rsidRDefault="005F151B" w:rsidP="00B453F9">
      <w:pPr>
        <w:pStyle w:val="Legend"/>
        <w:spacing w:line="360" w:lineRule="auto"/>
      </w:pPr>
    </w:p>
    <w:p w14:paraId="1AC82B97" w14:textId="713531A6" w:rsidR="005F151B" w:rsidRDefault="007F09C2" w:rsidP="00B453F9">
      <w:pPr>
        <w:pStyle w:val="Legend"/>
        <w:spacing w:line="360" w:lineRule="auto"/>
        <w:rPr>
          <w:b/>
          <w:bCs/>
        </w:rPr>
      </w:pPr>
      <w:r>
        <w:rPr>
          <w:b/>
          <w:bCs/>
        </w:rPr>
        <w:t>3. Conclusion</w:t>
      </w:r>
    </w:p>
    <w:p w14:paraId="4BB4A130" w14:textId="4EEBE4AA" w:rsidR="007F09C2" w:rsidRDefault="007F09C2" w:rsidP="00B453F9">
      <w:pPr>
        <w:pStyle w:val="Legend"/>
        <w:spacing w:line="360" w:lineRule="auto"/>
        <w:rPr>
          <w:bCs/>
          <w:iCs/>
        </w:rPr>
      </w:pPr>
      <w:r w:rsidRPr="007F09C2">
        <w:rPr>
          <w:bCs/>
          <w:iCs/>
        </w:rPr>
        <w:t>In conclusion, the structural, morphological and optoelectronic properties of solution-processed ternary metal oxide films as potential ETLs for PSCs were systematically investigated. XRD and SEM results showed that perovskite film crystallite size and morphology were improved when deposited on ternary metal oxide ETLs, especially for bilayer composition. These ETLs exhibited uniform coverage across the substrate, signifying efficient charge extraction. Furthermore, photoluminescence studies indicated superior charge extraction and transportation in bilayer ETL when coupled with perovskite layer. The contact angle analysis revealed increased resistance to moisture-induced degradation and improved device stability. Hall effect measurements confirmed n-type conductivity of the films, with better charge carrier mobility observed in the bilayer ETL. This study highlights the potential of zinc-tin-based ternary metal oxides as effective ETLs in high-efficiency, stable planar PSCs</w:t>
      </w:r>
      <w:r>
        <w:rPr>
          <w:bCs/>
          <w:iCs/>
        </w:rPr>
        <w:t>.</w:t>
      </w:r>
    </w:p>
    <w:p w14:paraId="6531BB18" w14:textId="77777777" w:rsidR="007F09C2" w:rsidRDefault="007F09C2" w:rsidP="00B453F9">
      <w:pPr>
        <w:pStyle w:val="Legend"/>
        <w:spacing w:line="360" w:lineRule="auto"/>
        <w:rPr>
          <w:bCs/>
          <w:iCs/>
        </w:rPr>
      </w:pPr>
    </w:p>
    <w:p w14:paraId="11563A4C" w14:textId="0FFB7924" w:rsidR="007F09C2" w:rsidRDefault="007F09C2" w:rsidP="00B453F9">
      <w:pPr>
        <w:pStyle w:val="Legend"/>
        <w:spacing w:line="360" w:lineRule="auto"/>
        <w:rPr>
          <w:b/>
          <w:iCs/>
        </w:rPr>
      </w:pPr>
      <w:r>
        <w:rPr>
          <w:b/>
          <w:iCs/>
        </w:rPr>
        <w:t>4. Experimental Section</w:t>
      </w:r>
    </w:p>
    <w:p w14:paraId="1CEEE80B" w14:textId="71E39027" w:rsidR="007F09C2" w:rsidRDefault="007F09C2" w:rsidP="00B453F9">
      <w:pPr>
        <w:pStyle w:val="Legend"/>
        <w:spacing w:line="360" w:lineRule="auto"/>
        <w:rPr>
          <w:b/>
          <w:iCs/>
        </w:rPr>
      </w:pPr>
      <w:r>
        <w:rPr>
          <w:b/>
          <w:iCs/>
        </w:rPr>
        <w:t>4.1. Materials</w:t>
      </w:r>
    </w:p>
    <w:p w14:paraId="1A7B30C6" w14:textId="711FC99C" w:rsidR="007F09C2" w:rsidRDefault="007F09C2" w:rsidP="00B453F9">
      <w:pPr>
        <w:pStyle w:val="Legend"/>
        <w:spacing w:line="360" w:lineRule="auto"/>
        <w:rPr>
          <w:bCs/>
          <w:iCs/>
        </w:rPr>
      </w:pPr>
      <w:r w:rsidRPr="007F09C2">
        <w:rPr>
          <w:bCs/>
          <w:iCs/>
        </w:rPr>
        <w:t>Zinc acetate dihydrate (CAS No. 5970-45-6), zinc chloride (CAS No. 7646-85-7), tin (II) chloride dihydrate (CAS No. 10025-69-1), tin (II) chloride (CAS No. 7772-99-8), methylammonium iodide (CAS No. 14965-49-2), lead (II) iodide (CAS No. 10101-63-0), cesium bromide (CAS No. 7787-69-1), 2-methoxyethanol (CAS No. 109-86-4), N, N dimethylformamide (CAS No. 68–12-2), dimethyl sulfoxide (CAS No. 67–68-5) and fluorine-doped tin oxide (FTO) glass substrates were bought from Sigma-Aldrich (St. Louis, MO, USA). All the provided resources were utilized directly, without subjecting them to any additional purification steps</w:t>
      </w:r>
      <w:r>
        <w:rPr>
          <w:bCs/>
          <w:iCs/>
        </w:rPr>
        <w:t>.</w:t>
      </w:r>
    </w:p>
    <w:p w14:paraId="1D529BE2" w14:textId="77777777" w:rsidR="007F09C2" w:rsidRDefault="007F09C2" w:rsidP="00B453F9">
      <w:pPr>
        <w:pStyle w:val="Legend"/>
        <w:spacing w:line="360" w:lineRule="auto"/>
        <w:rPr>
          <w:bCs/>
          <w:iCs/>
        </w:rPr>
      </w:pPr>
    </w:p>
    <w:p w14:paraId="180ED90E" w14:textId="5E397EA7" w:rsidR="007F09C2" w:rsidRDefault="007F09C2" w:rsidP="00B453F9">
      <w:pPr>
        <w:pStyle w:val="Legend"/>
        <w:spacing w:line="360" w:lineRule="auto"/>
        <w:rPr>
          <w:b/>
          <w:iCs/>
        </w:rPr>
      </w:pPr>
      <w:r>
        <w:rPr>
          <w:b/>
          <w:iCs/>
        </w:rPr>
        <w:t xml:space="preserve">4.2. </w:t>
      </w:r>
      <w:r w:rsidR="00D24FB1">
        <w:rPr>
          <w:b/>
          <w:iCs/>
        </w:rPr>
        <w:t>Sample Preparation</w:t>
      </w:r>
    </w:p>
    <w:p w14:paraId="0531A129" w14:textId="2B8DD860" w:rsidR="007F09C2" w:rsidRDefault="007F09C2" w:rsidP="00B453F9">
      <w:pPr>
        <w:pStyle w:val="Legend"/>
        <w:spacing w:line="360" w:lineRule="auto"/>
        <w:rPr>
          <w:bCs/>
          <w:iCs/>
        </w:rPr>
      </w:pPr>
      <w:r w:rsidRPr="007F09C2">
        <w:rPr>
          <w:bCs/>
          <w:iCs/>
        </w:rPr>
        <w:t xml:space="preserve">Firstly, the FTO glass substrates were cleaned through sonication in de-ionized water, 2-propanol, acetone and 2-propanol sequentially for 15 min each. After sonication, they were dried using a nitrogen gun and plasma cleaned for 10 min. Zinc-tin oxide (ZTO) film was </w:t>
      </w:r>
      <w:r w:rsidRPr="007F09C2">
        <w:rPr>
          <w:bCs/>
          <w:iCs/>
        </w:rPr>
        <w:lastRenderedPageBreak/>
        <w:t>synthesized by reacting zinc acetate dihydrate (</w:t>
      </w:r>
      <w:proofErr w:type="gramStart"/>
      <w:r w:rsidRPr="007F09C2">
        <w:rPr>
          <w:bCs/>
          <w:iCs/>
        </w:rPr>
        <w:t>Zn(</w:t>
      </w:r>
      <w:proofErr w:type="gramEnd"/>
      <w:r w:rsidRPr="007F09C2">
        <w:rPr>
          <w:bCs/>
          <w:iCs/>
        </w:rPr>
        <w:t>CH</w:t>
      </w:r>
      <w:r w:rsidRPr="007F09C2">
        <w:rPr>
          <w:bCs/>
          <w:iCs/>
          <w:vertAlign w:val="subscript"/>
        </w:rPr>
        <w:t>3</w:t>
      </w:r>
      <w:r w:rsidRPr="007F09C2">
        <w:rPr>
          <w:bCs/>
          <w:iCs/>
        </w:rPr>
        <w:t>COO)</w:t>
      </w:r>
      <w:r w:rsidRPr="007F09C2">
        <w:rPr>
          <w:bCs/>
          <w:iCs/>
          <w:vertAlign w:val="subscript"/>
        </w:rPr>
        <w:t>2</w:t>
      </w:r>
      <w:r w:rsidRPr="007F09C2">
        <w:rPr>
          <w:bCs/>
          <w:iCs/>
          <w:lang w:val="de-DE"/>
        </w:rPr>
        <w:sym w:font="Symbol" w:char="F0D7"/>
      </w:r>
      <w:r w:rsidRPr="007F09C2">
        <w:rPr>
          <w:bCs/>
          <w:iCs/>
        </w:rPr>
        <w:t>2H</w:t>
      </w:r>
      <w:r w:rsidRPr="007F09C2">
        <w:rPr>
          <w:bCs/>
          <w:iCs/>
          <w:vertAlign w:val="subscript"/>
        </w:rPr>
        <w:t>2</w:t>
      </w:r>
      <w:r w:rsidRPr="007F09C2">
        <w:rPr>
          <w:bCs/>
          <w:iCs/>
        </w:rPr>
        <w:t>O) and tin (II) chloride dihydrate (SnCl</w:t>
      </w:r>
      <w:r w:rsidRPr="007F09C2">
        <w:rPr>
          <w:bCs/>
          <w:iCs/>
          <w:vertAlign w:val="subscript"/>
        </w:rPr>
        <w:t>2</w:t>
      </w:r>
      <w:r w:rsidRPr="007F09C2">
        <w:rPr>
          <w:bCs/>
          <w:iCs/>
          <w:lang w:val="de-DE"/>
        </w:rPr>
        <w:sym w:font="Symbol" w:char="F0D7"/>
      </w:r>
      <w:r w:rsidRPr="007F09C2">
        <w:rPr>
          <w:bCs/>
          <w:iCs/>
        </w:rPr>
        <w:t>2H</w:t>
      </w:r>
      <w:r w:rsidRPr="007F09C2">
        <w:rPr>
          <w:bCs/>
          <w:iCs/>
          <w:vertAlign w:val="subscript"/>
        </w:rPr>
        <w:t>2</w:t>
      </w:r>
      <w:r w:rsidRPr="007F09C2">
        <w:rPr>
          <w:bCs/>
          <w:iCs/>
        </w:rPr>
        <w:t xml:space="preserve">O) in equimolar proportions, in 2-methoxyethanol (5 mL) solvent. Whereas acetylacetone (100 µL) was used as a stabilizing agent. The solution was kept at 60 </w:t>
      </w:r>
      <w:r w:rsidRPr="007F09C2">
        <w:rPr>
          <w:bCs/>
          <w:iCs/>
          <w:lang w:val="de-DE"/>
        </w:rPr>
        <w:sym w:font="Symbol" w:char="F0B0"/>
      </w:r>
      <w:r w:rsidRPr="007F09C2">
        <w:rPr>
          <w:bCs/>
          <w:iCs/>
        </w:rPr>
        <w:t>C for 3 h under stirring. Then, it was spin coated at 3000 rpm for 30 s on an FTO glass substrate followed by annealing at 500 °C for 1</w:t>
      </w:r>
      <w:r>
        <w:rPr>
          <w:bCs/>
          <w:iCs/>
        </w:rPr>
        <w:t xml:space="preserve"> h.</w:t>
      </w:r>
    </w:p>
    <w:p w14:paraId="0F0E41B6" w14:textId="75209AFC" w:rsidR="007F09C2" w:rsidRDefault="007F09C2" w:rsidP="007F09C2">
      <w:pPr>
        <w:pStyle w:val="Legend"/>
        <w:spacing w:line="360" w:lineRule="auto"/>
        <w:ind w:firstLine="708"/>
        <w:rPr>
          <w:bCs/>
          <w:iCs/>
        </w:rPr>
      </w:pPr>
      <w:r w:rsidRPr="007F09C2">
        <w:rPr>
          <w:bCs/>
          <w:iCs/>
        </w:rPr>
        <w:t>The colloidal solution for the deposition of zinc stannate (ZS) thin film was prepared by dissolving 0.2 M of zinc chloride and 0.1 M of tin (II) chloride in ethanol. The precursor solution was stirred overnight at room temperature and deposited onto FTO glass substrates in the same way as ZTO film. For bilayer, a similar process was repeated for ZTO and ZS films where ZS solution was dynamically spin</w:t>
      </w:r>
      <w:r w:rsidR="001073C0">
        <w:rPr>
          <w:bCs/>
          <w:iCs/>
        </w:rPr>
        <w:t xml:space="preserve"> </w:t>
      </w:r>
      <w:r w:rsidRPr="007F09C2">
        <w:rPr>
          <w:bCs/>
          <w:iCs/>
        </w:rPr>
        <w:t xml:space="preserve">coated on top of the ZTO film. Following the deposition of each layer, the substrates were annealed for 1 h at a temperature of 500 </w:t>
      </w:r>
      <w:r w:rsidRPr="007F09C2">
        <w:rPr>
          <w:bCs/>
          <w:iCs/>
          <w:lang w:val="de-DE"/>
        </w:rPr>
        <w:sym w:font="Symbol" w:char="F0B0"/>
      </w:r>
      <w:r w:rsidRPr="007F09C2">
        <w:rPr>
          <w:bCs/>
          <w:iCs/>
        </w:rPr>
        <w:t xml:space="preserve">C. </w:t>
      </w:r>
      <w:r w:rsidRPr="00DB4B47">
        <w:rPr>
          <w:b/>
          <w:iCs/>
        </w:rPr>
        <w:t>Figure 6</w:t>
      </w:r>
      <w:r w:rsidRPr="007F09C2">
        <w:rPr>
          <w:bCs/>
          <w:iCs/>
        </w:rPr>
        <w:t xml:space="preserve"> provides a schematic representation of the systematic methodology involved in the preparation of ternary metal oxide electron transport layers (ETLs)</w:t>
      </w:r>
      <w:r>
        <w:rPr>
          <w:bCs/>
          <w:iCs/>
        </w:rPr>
        <w:t>.</w:t>
      </w:r>
    </w:p>
    <w:p w14:paraId="7B4370C6" w14:textId="77777777" w:rsidR="007F09C2" w:rsidRDefault="007F09C2" w:rsidP="007F09C2">
      <w:pPr>
        <w:pStyle w:val="Legend"/>
        <w:spacing w:line="360" w:lineRule="auto"/>
        <w:rPr>
          <w:bCs/>
          <w:iCs/>
        </w:rPr>
      </w:pPr>
    </w:p>
    <w:p w14:paraId="0B1FAE96" w14:textId="22A09FE3" w:rsidR="007F09C2" w:rsidRPr="007F09C2" w:rsidRDefault="007F09C2" w:rsidP="007F09C2">
      <w:pPr>
        <w:pStyle w:val="Legend"/>
        <w:spacing w:line="360" w:lineRule="auto"/>
        <w:rPr>
          <w:bCs/>
          <w:iCs/>
        </w:rPr>
      </w:pPr>
      <w:r>
        <w:rPr>
          <w:bCs/>
          <w:iCs/>
          <w:noProof/>
        </w:rPr>
        <w:drawing>
          <wp:inline distT="0" distB="0" distL="0" distR="0" wp14:anchorId="072286A2" wp14:editId="6830389E">
            <wp:extent cx="5760720" cy="2720340"/>
            <wp:effectExtent l="0" t="0" r="0" b="3810"/>
            <wp:docPr id="94561075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5610754" name="Picture 945610754"/>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760720" cy="2720340"/>
                    </a:xfrm>
                    <a:prstGeom prst="rect">
                      <a:avLst/>
                    </a:prstGeom>
                  </pic:spPr>
                </pic:pic>
              </a:graphicData>
            </a:graphic>
          </wp:inline>
        </w:drawing>
      </w:r>
    </w:p>
    <w:p w14:paraId="22FF0E85" w14:textId="1DD7504C" w:rsidR="007F09C2" w:rsidRDefault="007F09C2" w:rsidP="007F09C2">
      <w:pPr>
        <w:pStyle w:val="Legend"/>
        <w:spacing w:line="360" w:lineRule="auto"/>
      </w:pPr>
      <w:r w:rsidRPr="00EF4114">
        <w:rPr>
          <w:b/>
        </w:rPr>
        <w:t xml:space="preserve">Figure </w:t>
      </w:r>
      <w:r>
        <w:rPr>
          <w:b/>
        </w:rPr>
        <w:t>6</w:t>
      </w:r>
      <w:r w:rsidRPr="00EF4114">
        <w:rPr>
          <w:b/>
        </w:rPr>
        <w:t>.</w:t>
      </w:r>
      <w:r w:rsidRPr="00EF4114">
        <w:t xml:space="preserve"> </w:t>
      </w:r>
      <w:r w:rsidRPr="007F09C2">
        <w:rPr>
          <w:lang w:val="en-GB"/>
        </w:rPr>
        <w:t>Methodology for the preparation of ZTO, ZS and bilayer ETLs</w:t>
      </w:r>
      <w:r>
        <w:rPr>
          <w:lang w:val="en-GB"/>
        </w:rPr>
        <w:t>.</w:t>
      </w:r>
      <w:r>
        <w:t xml:space="preserve"> </w:t>
      </w:r>
    </w:p>
    <w:p w14:paraId="12107F0C" w14:textId="77777777" w:rsidR="007F09C2" w:rsidRDefault="007F09C2" w:rsidP="00B453F9">
      <w:pPr>
        <w:pStyle w:val="Legend"/>
        <w:spacing w:line="360" w:lineRule="auto"/>
      </w:pPr>
    </w:p>
    <w:p w14:paraId="24980D4E" w14:textId="1C23B7BB" w:rsidR="00D24FB1" w:rsidRDefault="00D24FB1" w:rsidP="00D24FB1">
      <w:pPr>
        <w:pStyle w:val="Legend"/>
        <w:spacing w:line="360" w:lineRule="auto"/>
        <w:ind w:firstLine="708"/>
      </w:pPr>
      <w:r w:rsidRPr="00D24FB1">
        <w:t>The precursor solution of Cs</w:t>
      </w:r>
      <w:r w:rsidRPr="00D24FB1">
        <w:rPr>
          <w:vertAlign w:val="subscript"/>
        </w:rPr>
        <w:t>0.1</w:t>
      </w:r>
      <w:r w:rsidRPr="00D24FB1">
        <w:t>MA</w:t>
      </w:r>
      <w:r w:rsidRPr="00D24FB1">
        <w:rPr>
          <w:vertAlign w:val="subscript"/>
        </w:rPr>
        <w:t>0.9</w:t>
      </w:r>
      <w:r w:rsidRPr="00D24FB1">
        <w:t>Pb(I</w:t>
      </w:r>
      <w:r w:rsidRPr="00D24FB1">
        <w:rPr>
          <w:vertAlign w:val="subscript"/>
        </w:rPr>
        <w:t>0.9</w:t>
      </w:r>
      <w:r w:rsidRPr="00D24FB1">
        <w:t>Br</w:t>
      </w:r>
      <w:r w:rsidRPr="00D24FB1">
        <w:rPr>
          <w:vertAlign w:val="subscript"/>
        </w:rPr>
        <w:t>0.1</w:t>
      </w:r>
      <w:r w:rsidRPr="00D24FB1">
        <w:t>)</w:t>
      </w:r>
      <w:r w:rsidRPr="00D24FB1">
        <w:rPr>
          <w:vertAlign w:val="subscript"/>
        </w:rPr>
        <w:t>3</w:t>
      </w:r>
      <w:r w:rsidRPr="00D24FB1">
        <w:t xml:space="preserve"> was formulated by adding 461 mg of lead iodide, 143 mg of methylammonium iodide and 21 mg of cesium bromide in 1 mL solvent mixture composed of N, N dimethylformamide and dimethyl sulfoxide with a volumetric proportion of 4:1. The mixture was stirred at 70 </w:t>
      </w:r>
      <w:r w:rsidRPr="00D24FB1">
        <w:rPr>
          <w:lang w:val="de-DE"/>
        </w:rPr>
        <w:sym w:font="Symbol" w:char="F0B0"/>
      </w:r>
      <w:r w:rsidRPr="00D24FB1">
        <w:t xml:space="preserve">C for 12 h and filtered through a 0.22 </w:t>
      </w:r>
      <w:r w:rsidRPr="00D24FB1">
        <w:rPr>
          <w:lang w:val="de-DE"/>
        </w:rPr>
        <w:sym w:font="Symbol" w:char="F06D"/>
      </w:r>
      <w:r w:rsidRPr="00D24FB1">
        <w:t>m p</w:t>
      </w:r>
      <w:proofErr w:type="spellStart"/>
      <w:r w:rsidRPr="00D24FB1">
        <w:rPr>
          <w:lang w:val="en"/>
        </w:rPr>
        <w:t>olytetrafluoroethylene</w:t>
      </w:r>
      <w:proofErr w:type="spellEnd"/>
      <w:r w:rsidRPr="00D24FB1">
        <w:t xml:space="preserve"> (PTFE) filter. The films were deposited onto the ETLs through a 2-step spin coating method, initially at 500 rpm for 3 s and subsequently at 4000 rpm for 30 s. A schematic representation of the perovskite layer’s deposition process is </w:t>
      </w:r>
      <w:r w:rsidRPr="00D24FB1">
        <w:lastRenderedPageBreak/>
        <w:t xml:space="preserve">illustrated in </w:t>
      </w:r>
      <w:r w:rsidRPr="00DB4B47">
        <w:rPr>
          <w:b/>
          <w:bCs/>
        </w:rPr>
        <w:t>Fig</w:t>
      </w:r>
      <w:r w:rsidR="00DB4B47" w:rsidRPr="00DB4B47">
        <w:rPr>
          <w:b/>
          <w:bCs/>
        </w:rPr>
        <w:t>ure</w:t>
      </w:r>
      <w:r w:rsidRPr="00DB4B47">
        <w:rPr>
          <w:b/>
          <w:bCs/>
        </w:rPr>
        <w:t xml:space="preserve"> 7</w:t>
      </w:r>
      <w:r w:rsidRPr="00D24FB1">
        <w:t>. During the final 10 s of the spinning process, ethyl acetate was dropped as an anti-solvent. Subsequently, the samples were annealed at 80 °C for 40 min under ambient atmosphere</w:t>
      </w:r>
      <w:r>
        <w:t>.</w:t>
      </w:r>
    </w:p>
    <w:p w14:paraId="43F119F1" w14:textId="77777777" w:rsidR="00D24FB1" w:rsidRDefault="00D24FB1" w:rsidP="00B453F9">
      <w:pPr>
        <w:pStyle w:val="Legend"/>
        <w:spacing w:line="360" w:lineRule="auto"/>
      </w:pPr>
    </w:p>
    <w:p w14:paraId="40651D96" w14:textId="0C56AD06" w:rsidR="00D24FB1" w:rsidRPr="00D24FB1" w:rsidRDefault="00D24FB1" w:rsidP="00B453F9">
      <w:pPr>
        <w:pStyle w:val="Legend"/>
        <w:spacing w:line="360" w:lineRule="auto"/>
      </w:pPr>
      <w:r>
        <w:rPr>
          <w:noProof/>
        </w:rPr>
        <w:drawing>
          <wp:inline distT="0" distB="0" distL="0" distR="0" wp14:anchorId="74386BC3" wp14:editId="4DF2EFD7">
            <wp:extent cx="5760720" cy="2181860"/>
            <wp:effectExtent l="0" t="0" r="0" b="8890"/>
            <wp:docPr id="24302487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024871" name="Picture 243024871"/>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60720" cy="2181860"/>
                    </a:xfrm>
                    <a:prstGeom prst="rect">
                      <a:avLst/>
                    </a:prstGeom>
                  </pic:spPr>
                </pic:pic>
              </a:graphicData>
            </a:graphic>
          </wp:inline>
        </w:drawing>
      </w:r>
    </w:p>
    <w:p w14:paraId="12BB98BE" w14:textId="499C6C80" w:rsidR="00D24FB1" w:rsidRDefault="00D24FB1" w:rsidP="00D24FB1">
      <w:pPr>
        <w:pStyle w:val="Legend"/>
        <w:spacing w:line="360" w:lineRule="auto"/>
      </w:pPr>
      <w:r w:rsidRPr="00EF4114">
        <w:rPr>
          <w:b/>
        </w:rPr>
        <w:t xml:space="preserve">Figure </w:t>
      </w:r>
      <w:r>
        <w:rPr>
          <w:b/>
        </w:rPr>
        <w:t>7</w:t>
      </w:r>
      <w:r w:rsidRPr="00EF4114">
        <w:rPr>
          <w:b/>
        </w:rPr>
        <w:t>.</w:t>
      </w:r>
      <w:r w:rsidRPr="00EF4114">
        <w:t xml:space="preserve"> </w:t>
      </w:r>
      <w:r w:rsidRPr="00D24FB1">
        <w:rPr>
          <w:lang w:val="en-GB"/>
        </w:rPr>
        <w:t>Schematic illustration of perovskite layer deposition</w:t>
      </w:r>
      <w:r>
        <w:rPr>
          <w:lang w:val="en-GB"/>
        </w:rPr>
        <w:t>.</w:t>
      </w:r>
      <w:r>
        <w:t xml:space="preserve"> </w:t>
      </w:r>
    </w:p>
    <w:p w14:paraId="404CF8F3" w14:textId="77777777" w:rsidR="006B3BBF" w:rsidRDefault="006B3BBF" w:rsidP="00B453F9">
      <w:pPr>
        <w:pStyle w:val="Legend"/>
        <w:spacing w:line="360" w:lineRule="auto"/>
      </w:pPr>
    </w:p>
    <w:p w14:paraId="251CAAFC" w14:textId="63B8A83E" w:rsidR="006B3BBF" w:rsidRDefault="006B3BBF" w:rsidP="00B453F9">
      <w:pPr>
        <w:pStyle w:val="Legend"/>
        <w:spacing w:line="360" w:lineRule="auto"/>
        <w:rPr>
          <w:b/>
          <w:bCs/>
        </w:rPr>
      </w:pPr>
      <w:r>
        <w:rPr>
          <w:b/>
          <w:bCs/>
        </w:rPr>
        <w:t xml:space="preserve">4.3. </w:t>
      </w:r>
      <w:r w:rsidR="00DB4B47">
        <w:rPr>
          <w:b/>
          <w:bCs/>
        </w:rPr>
        <w:t>Characterization</w:t>
      </w:r>
    </w:p>
    <w:p w14:paraId="3584464F" w14:textId="274DC74B" w:rsidR="00DB4B47" w:rsidRDefault="00DB4B47" w:rsidP="00B453F9">
      <w:pPr>
        <w:pStyle w:val="Legend"/>
        <w:spacing w:line="360" w:lineRule="auto"/>
      </w:pPr>
      <w:r w:rsidRPr="00DB4B47">
        <w:t>The structural properties and crystallite size of ternary metal oxide and perovskite films were examined using the X-ray diffraction (XRD) method, employing a Bruker D8 Advanced device (Bruker AXS GmbH, Karlsruhe, Germany) with a scan cycle of 1.25</w:t>
      </w:r>
      <w:r w:rsidR="004D0D01">
        <w:t xml:space="preserve"> </w:t>
      </w:r>
      <w:r w:rsidRPr="00DB4B47">
        <w:t>°/min and a 2</w:t>
      </w:r>
      <w:r w:rsidRPr="00572E2C">
        <w:rPr>
          <w:i/>
          <w:lang w:val="de-DE"/>
        </w:rPr>
        <w:t>θ</w:t>
      </w:r>
      <w:r w:rsidRPr="00DB4B47">
        <w:t xml:space="preserve"> range between 10 and 80°. The Cu K</w:t>
      </w:r>
      <w:r w:rsidRPr="00DB4B47">
        <w:rPr>
          <w:lang w:val="de-DE"/>
        </w:rPr>
        <w:t>α</w:t>
      </w:r>
      <w:r w:rsidRPr="00DB4B47">
        <w:t xml:space="preserve"> radiation source (</w:t>
      </w:r>
      <w:r w:rsidRPr="00572E2C">
        <w:rPr>
          <w:i/>
          <w:lang w:val="de-DE"/>
        </w:rPr>
        <w:t>λ</w:t>
      </w:r>
      <w:r w:rsidRPr="00DB4B47">
        <w:t xml:space="preserve"> = 1.542 Å) was used with a 40 kV excitation voltage and a </w:t>
      </w:r>
      <w:proofErr w:type="gramStart"/>
      <w:r w:rsidRPr="00DB4B47">
        <w:t>30 mA</w:t>
      </w:r>
      <w:proofErr w:type="gramEnd"/>
      <w:r w:rsidRPr="00DB4B47">
        <w:t xml:space="preserve"> current. Peak analysis and signal processing were performed using Jade 6.5 software from MDI (Livermore, CA, USA). The XRD spectrum of ZTO ETL deposited on FTO glass substrate is shown in </w:t>
      </w:r>
      <w:r w:rsidRPr="00572E2C">
        <w:rPr>
          <w:b/>
        </w:rPr>
        <w:t>Fig</w:t>
      </w:r>
      <w:r w:rsidR="004D0D01" w:rsidRPr="00572E2C">
        <w:rPr>
          <w:b/>
        </w:rPr>
        <w:t xml:space="preserve">ure </w:t>
      </w:r>
      <w:r w:rsidR="005E12A2" w:rsidRPr="00572E2C">
        <w:rPr>
          <w:b/>
        </w:rPr>
        <w:t>S</w:t>
      </w:r>
      <w:r w:rsidR="005E12A2">
        <w:rPr>
          <w:b/>
        </w:rPr>
        <w:t>1</w:t>
      </w:r>
      <w:r w:rsidRPr="00DB4B47">
        <w:t>. The surface morphology of the thin films was investigated with a scanning electron microscope (SEM, JEOL Ltd., Tokyo, Japan) and images were captured at a voltage of 20.0 kV</w:t>
      </w:r>
      <w:r>
        <w:t>.</w:t>
      </w:r>
    </w:p>
    <w:p w14:paraId="713CB012" w14:textId="3D046824" w:rsidR="00DB4B47" w:rsidRPr="00DB4B47" w:rsidRDefault="00DB4B47" w:rsidP="00B453F9">
      <w:pPr>
        <w:pStyle w:val="Legend"/>
        <w:spacing w:line="360" w:lineRule="auto"/>
      </w:pPr>
      <w:r>
        <w:tab/>
      </w:r>
      <w:r w:rsidRPr="00DB4B47">
        <w:t>To determine the optical properties of ETL and perovskite films, the ultraviolet–visible–near infrared (UV–Vis–NIR) spectrophotometer UV-3600 Plus (Shimadzu Co., Kyoto, Japan) was utilized with a 2.5 µm slit width. Transmittance and absorbance measurements were taken in the 250–1100 nm range. Hall effect measurements for the evaluation of electrical properties were performed using the Ecopia HMS-3000 system (Anyang, South Korea) (see Table SI). Additionally, steady-state photoluminescence (PL) spectra were acquired with an iHR320 spectrophotometer from Horiba Scientific (Horiba Instruments Inc., Irvine, CA, USA) at an excitation wavelength of 450 nm</w:t>
      </w:r>
      <w:r>
        <w:t xml:space="preserve">. </w:t>
      </w:r>
      <w:r w:rsidRPr="00DB4B47">
        <w:t xml:space="preserve">The surface </w:t>
      </w:r>
      <w:r w:rsidRPr="00DB4B47">
        <w:lastRenderedPageBreak/>
        <w:t>wettability test was carried out under ambient conditions with a VCA Optima instrument (AST Products Inc., Billerica, MA, USA) utilizing a 30 µL drop of de-ionized water</w:t>
      </w:r>
      <w:r>
        <w:t>.</w:t>
      </w:r>
    </w:p>
    <w:p w14:paraId="3F8EF3C0" w14:textId="77777777" w:rsidR="00131D58" w:rsidRDefault="00131D58" w:rsidP="008C6D5F">
      <w:pPr>
        <w:pStyle w:val="MainText"/>
        <w:spacing w:line="360" w:lineRule="auto"/>
      </w:pPr>
    </w:p>
    <w:p w14:paraId="6A29D49B" w14:textId="4C7EDE51" w:rsidR="00131D58" w:rsidRPr="00A35E4A" w:rsidRDefault="00131D58" w:rsidP="008C6D5F">
      <w:pPr>
        <w:pStyle w:val="Acknowledgements"/>
        <w:spacing w:line="360" w:lineRule="auto"/>
        <w:rPr>
          <w:i/>
        </w:rPr>
      </w:pPr>
      <w:r w:rsidRPr="005167E5">
        <w:rPr>
          <w:b/>
        </w:rPr>
        <w:t>Supporting Information</w:t>
      </w:r>
      <w:r>
        <w:rPr>
          <w:i/>
        </w:rPr>
        <w:t xml:space="preserve"> </w:t>
      </w:r>
    </w:p>
    <w:p w14:paraId="61CE1F90" w14:textId="77777777" w:rsidR="00131D58" w:rsidRDefault="00131D58" w:rsidP="008C6D5F">
      <w:pPr>
        <w:pStyle w:val="Acknowledgements"/>
        <w:spacing w:line="360" w:lineRule="auto"/>
      </w:pPr>
      <w:r w:rsidRPr="00A35E4A">
        <w:t xml:space="preserve">Supporting Information is available from </w:t>
      </w:r>
      <w:r>
        <w:t xml:space="preserve">the </w:t>
      </w:r>
      <w:r w:rsidRPr="00A35E4A">
        <w:t>Wiley</w:t>
      </w:r>
      <w:r>
        <w:t xml:space="preserve"> Online Library or from the author</w:t>
      </w:r>
      <w:r w:rsidRPr="00A35E4A">
        <w:t>.</w:t>
      </w:r>
    </w:p>
    <w:p w14:paraId="3B9DCEAD" w14:textId="77777777" w:rsidR="00004A23" w:rsidRDefault="00004A23" w:rsidP="008C6D5F">
      <w:pPr>
        <w:pStyle w:val="MainText"/>
        <w:spacing w:line="360" w:lineRule="auto"/>
      </w:pPr>
    </w:p>
    <w:p w14:paraId="300E83E3" w14:textId="77777777" w:rsidR="002D16A0" w:rsidRDefault="002D16A0" w:rsidP="00DC43A2">
      <w:pPr>
        <w:pStyle w:val="Head1"/>
      </w:pPr>
      <w:r>
        <w:t>Acknowledgements</w:t>
      </w:r>
    </w:p>
    <w:p w14:paraId="37E6686B" w14:textId="04DB292B" w:rsidR="007B7A09" w:rsidRDefault="00376CD5" w:rsidP="008C6D5F">
      <w:pPr>
        <w:pStyle w:val="MainText"/>
        <w:spacing w:line="360" w:lineRule="auto"/>
        <w:rPr>
          <w:bCs/>
          <w:iCs/>
        </w:rPr>
      </w:pPr>
      <w:r w:rsidRPr="00376CD5">
        <w:rPr>
          <w:bCs/>
          <w:iCs/>
        </w:rPr>
        <w:t>D.</w:t>
      </w:r>
      <w:r w:rsidR="004D0D01">
        <w:rPr>
          <w:bCs/>
          <w:iCs/>
        </w:rPr>
        <w:t xml:space="preserve"> </w:t>
      </w:r>
      <w:r w:rsidRPr="00376CD5">
        <w:rPr>
          <w:bCs/>
          <w:iCs/>
        </w:rPr>
        <w:t xml:space="preserve">P. acknowledges the support from the European Union - </w:t>
      </w:r>
      <w:proofErr w:type="spellStart"/>
      <w:r w:rsidRPr="00376CD5">
        <w:rPr>
          <w:bCs/>
          <w:iCs/>
        </w:rPr>
        <w:t>NextGenerationEU</w:t>
      </w:r>
      <w:proofErr w:type="spellEnd"/>
      <w:r w:rsidRPr="00376CD5">
        <w:rPr>
          <w:bCs/>
          <w:iCs/>
        </w:rPr>
        <w:t xml:space="preserve"> under the National Recovery and Resilience Plan (NRRP), Mission 04 Component 2 Investment 3.1 | Project Code: IR0000027 - CUP: B33C22000710006 - </w:t>
      </w:r>
      <w:proofErr w:type="spellStart"/>
      <w:r w:rsidRPr="00376CD5">
        <w:rPr>
          <w:bCs/>
          <w:iCs/>
        </w:rPr>
        <w:t>iENTRANCE@ENL</w:t>
      </w:r>
      <w:proofErr w:type="spellEnd"/>
      <w:r w:rsidRPr="00376CD5">
        <w:rPr>
          <w:bCs/>
          <w:iCs/>
        </w:rPr>
        <w:t>: Infrastructure for Energy Transition and Circular Economy @EuroNanoLab</w:t>
      </w:r>
      <w:r>
        <w:rPr>
          <w:bCs/>
          <w:iCs/>
        </w:rPr>
        <w:t>.</w:t>
      </w:r>
    </w:p>
    <w:p w14:paraId="771EC70B" w14:textId="77777777" w:rsidR="00376CD5" w:rsidRDefault="00376CD5" w:rsidP="008C6D5F">
      <w:pPr>
        <w:pStyle w:val="MainText"/>
        <w:spacing w:line="360" w:lineRule="auto"/>
        <w:rPr>
          <w:bCs/>
          <w:iCs/>
        </w:rPr>
      </w:pPr>
    </w:p>
    <w:p w14:paraId="64A8E632" w14:textId="745C6A8D" w:rsidR="00376CD5" w:rsidRDefault="00376CD5" w:rsidP="00376CD5">
      <w:pPr>
        <w:pStyle w:val="Head1"/>
      </w:pPr>
      <w:r>
        <w:t>Conflict of Interest</w:t>
      </w:r>
    </w:p>
    <w:p w14:paraId="51854CDD" w14:textId="23D9CDAA" w:rsidR="00376CD5" w:rsidRDefault="00376CD5" w:rsidP="00376CD5">
      <w:pPr>
        <w:pStyle w:val="MainText"/>
        <w:spacing w:line="360" w:lineRule="auto"/>
        <w:rPr>
          <w:bCs/>
          <w:iCs/>
        </w:rPr>
      </w:pPr>
      <w:r w:rsidRPr="00376CD5">
        <w:rPr>
          <w:bCs/>
          <w:iCs/>
        </w:rPr>
        <w:t>The authors declare no conﬂict of interest</w:t>
      </w:r>
      <w:r>
        <w:rPr>
          <w:bCs/>
          <w:iCs/>
        </w:rPr>
        <w:t>.</w:t>
      </w:r>
    </w:p>
    <w:p w14:paraId="09A3AA76" w14:textId="77777777" w:rsidR="00376CD5" w:rsidRDefault="00376CD5" w:rsidP="00376CD5">
      <w:pPr>
        <w:pStyle w:val="MainText"/>
        <w:spacing w:line="360" w:lineRule="auto"/>
        <w:rPr>
          <w:bCs/>
          <w:iCs/>
        </w:rPr>
      </w:pPr>
    </w:p>
    <w:p w14:paraId="0226322F" w14:textId="5C7ED46C" w:rsidR="00376CD5" w:rsidRDefault="00376CD5" w:rsidP="00376CD5">
      <w:pPr>
        <w:pStyle w:val="Head1"/>
      </w:pPr>
      <w:r>
        <w:t>Data Availability Statement</w:t>
      </w:r>
    </w:p>
    <w:p w14:paraId="34D74873" w14:textId="7A0E6F3D" w:rsidR="00376CD5" w:rsidRPr="00376CD5" w:rsidRDefault="00376CD5" w:rsidP="00376CD5">
      <w:pPr>
        <w:pStyle w:val="MainText"/>
        <w:spacing w:line="360" w:lineRule="auto"/>
      </w:pPr>
      <w:r w:rsidRPr="00376CD5">
        <w:rPr>
          <w:bCs/>
          <w:iCs/>
        </w:rPr>
        <w:t>The data that support the findings of this study are available from the corresponding author upon reasonable request</w:t>
      </w:r>
      <w:r>
        <w:rPr>
          <w:bCs/>
          <w:iCs/>
        </w:rPr>
        <w:t>.</w:t>
      </w:r>
    </w:p>
    <w:p w14:paraId="19569340" w14:textId="77777777" w:rsidR="00004A23" w:rsidRDefault="00004A23" w:rsidP="008C6D5F">
      <w:pPr>
        <w:pStyle w:val="MainText"/>
        <w:spacing w:line="360" w:lineRule="auto"/>
      </w:pPr>
    </w:p>
    <w:p w14:paraId="413F771A" w14:textId="77777777" w:rsidR="006405BB" w:rsidRPr="00480365" w:rsidRDefault="006405BB" w:rsidP="006405BB">
      <w:pPr>
        <w:pStyle w:val="MainText"/>
        <w:spacing w:line="360" w:lineRule="auto"/>
        <w:rPr>
          <w:b/>
          <w:bCs/>
        </w:rPr>
      </w:pPr>
      <w:r w:rsidRPr="00480365">
        <w:rPr>
          <w:b/>
          <w:bCs/>
        </w:rPr>
        <w:t>References</w:t>
      </w:r>
    </w:p>
    <w:p w14:paraId="3AC8F557" w14:textId="77777777" w:rsidR="006405BB" w:rsidRDefault="006405BB" w:rsidP="006405BB">
      <w:pPr>
        <w:pStyle w:val="Literature"/>
        <w:spacing w:line="360" w:lineRule="auto"/>
        <w:rPr>
          <w:lang w:val="en-US"/>
        </w:rPr>
      </w:pPr>
      <w:r w:rsidRPr="005167E5">
        <w:rPr>
          <w:lang w:val="en-US"/>
        </w:rPr>
        <w:t>[1]</w:t>
      </w:r>
      <w:r w:rsidRPr="005167E5">
        <w:rPr>
          <w:lang w:val="en-US"/>
        </w:rPr>
        <w:tab/>
      </w:r>
      <w:r w:rsidRPr="001B29DA">
        <w:rPr>
          <w:lang w:val="en-US"/>
        </w:rPr>
        <w:t xml:space="preserve">C. Wang, D. Zhao, C. R. Grice, W. Liao, Y. Yu, A. </w:t>
      </w:r>
      <w:proofErr w:type="spellStart"/>
      <w:r w:rsidRPr="001B29DA">
        <w:rPr>
          <w:lang w:val="en-US"/>
        </w:rPr>
        <w:t>Cimaroli</w:t>
      </w:r>
      <w:proofErr w:type="spellEnd"/>
      <w:r w:rsidRPr="001B29DA">
        <w:rPr>
          <w:lang w:val="en-US"/>
        </w:rPr>
        <w:t xml:space="preserve">, N. Shrestha, P. J. Roland, J. Chen, Z. Yu, P. Liu, N. Cheng, R. J. Ellingson, X. Zhao, Y. Yan, </w:t>
      </w:r>
      <w:r w:rsidRPr="001B29DA">
        <w:rPr>
          <w:i/>
          <w:lang w:val="en-US"/>
        </w:rPr>
        <w:t>J. Mater. Chem. A</w:t>
      </w:r>
      <w:r>
        <w:rPr>
          <w:lang w:val="en-US"/>
        </w:rPr>
        <w:t xml:space="preserve"> </w:t>
      </w:r>
      <w:r w:rsidRPr="001B29DA">
        <w:rPr>
          <w:b/>
          <w:lang w:val="en-US"/>
        </w:rPr>
        <w:t>2016</w:t>
      </w:r>
      <w:r>
        <w:rPr>
          <w:lang w:val="en-US"/>
        </w:rPr>
        <w:t xml:space="preserve">, </w:t>
      </w:r>
      <w:r w:rsidRPr="001B29DA">
        <w:rPr>
          <w:i/>
          <w:lang w:val="en-US"/>
        </w:rPr>
        <w:t>4</w:t>
      </w:r>
      <w:r w:rsidRPr="001B29DA">
        <w:rPr>
          <w:lang w:val="en-US"/>
        </w:rPr>
        <w:t>, 12080.</w:t>
      </w:r>
    </w:p>
    <w:p w14:paraId="4A78DCBA" w14:textId="77777777" w:rsidR="006405BB" w:rsidRPr="005167E5" w:rsidRDefault="006405BB" w:rsidP="006405BB">
      <w:pPr>
        <w:pStyle w:val="Literature"/>
        <w:spacing w:line="360" w:lineRule="auto"/>
        <w:rPr>
          <w:lang w:val="en-US"/>
        </w:rPr>
      </w:pPr>
      <w:r>
        <w:rPr>
          <w:lang w:val="en-US"/>
        </w:rPr>
        <w:t>[2</w:t>
      </w:r>
      <w:r w:rsidRPr="005167E5">
        <w:rPr>
          <w:lang w:val="en-US"/>
        </w:rPr>
        <w:t>]</w:t>
      </w:r>
      <w:r w:rsidRPr="005167E5">
        <w:rPr>
          <w:lang w:val="en-US"/>
        </w:rPr>
        <w:tab/>
      </w:r>
      <w:r w:rsidRPr="001B29DA">
        <w:rPr>
          <w:lang w:val="en-US"/>
        </w:rPr>
        <w:t xml:space="preserve">Y. Lee, S. Lee, G. Seo, S. Paek, K. T. Cho, A. J. Huckaba, M. </w:t>
      </w:r>
      <w:proofErr w:type="spellStart"/>
      <w:r w:rsidRPr="001B29DA">
        <w:rPr>
          <w:lang w:val="en-US"/>
        </w:rPr>
        <w:t>Calizzi</w:t>
      </w:r>
      <w:proofErr w:type="spellEnd"/>
      <w:r w:rsidRPr="001B29DA">
        <w:rPr>
          <w:lang w:val="en-US"/>
        </w:rPr>
        <w:t xml:space="preserve">, D. -W. Choi, J. -S. Park, D. Lee, H. J. Lee, A. M. Asiri, M. K. </w:t>
      </w:r>
      <w:proofErr w:type="spellStart"/>
      <w:r w:rsidRPr="001B29DA">
        <w:rPr>
          <w:lang w:val="en-US"/>
        </w:rPr>
        <w:t>Nazeeruddin</w:t>
      </w:r>
      <w:proofErr w:type="spellEnd"/>
      <w:r w:rsidRPr="001B29DA">
        <w:rPr>
          <w:lang w:val="en-US"/>
        </w:rPr>
        <w:t xml:space="preserve">, </w:t>
      </w:r>
      <w:r w:rsidRPr="001B29DA">
        <w:rPr>
          <w:i/>
          <w:lang w:val="en-US"/>
        </w:rPr>
        <w:t>Adv. Sci.</w:t>
      </w:r>
      <w:r w:rsidRPr="001B29DA">
        <w:rPr>
          <w:lang w:val="en-US"/>
        </w:rPr>
        <w:t xml:space="preserve"> </w:t>
      </w:r>
      <w:r w:rsidRPr="001B29DA">
        <w:rPr>
          <w:b/>
          <w:lang w:val="en-US"/>
        </w:rPr>
        <w:t>2018</w:t>
      </w:r>
      <w:r>
        <w:rPr>
          <w:lang w:val="en-US"/>
        </w:rPr>
        <w:t xml:space="preserve">, </w:t>
      </w:r>
      <w:r w:rsidRPr="001B29DA">
        <w:rPr>
          <w:i/>
          <w:lang w:val="en-US"/>
        </w:rPr>
        <w:t>5</w:t>
      </w:r>
      <w:r w:rsidRPr="001B29DA">
        <w:rPr>
          <w:lang w:val="en-US"/>
        </w:rPr>
        <w:t>, 1800130.</w:t>
      </w:r>
    </w:p>
    <w:p w14:paraId="19B8A869" w14:textId="77777777" w:rsidR="006405BB" w:rsidRPr="006405BB" w:rsidRDefault="006405BB" w:rsidP="006405BB">
      <w:pPr>
        <w:pStyle w:val="Literature"/>
        <w:spacing w:line="360" w:lineRule="auto"/>
      </w:pPr>
      <w:r w:rsidRPr="006405BB">
        <w:t>[3]</w:t>
      </w:r>
      <w:r w:rsidRPr="006405BB">
        <w:tab/>
        <w:t xml:space="preserve">H. Wang, H. Yu, W. Xu, Z. Yuan, Z. Yan, C. Wang, X. Liu, M. Fahlman, J. -M. Liu, X. -K. Liu, F. Gao, </w:t>
      </w:r>
      <w:r w:rsidRPr="006405BB">
        <w:rPr>
          <w:i/>
        </w:rPr>
        <w:t>J. Mater. Chem. C</w:t>
      </w:r>
      <w:r w:rsidRPr="006405BB">
        <w:t xml:space="preserve"> </w:t>
      </w:r>
      <w:r w:rsidRPr="006405BB">
        <w:rPr>
          <w:b/>
        </w:rPr>
        <w:t>2018</w:t>
      </w:r>
      <w:r w:rsidRPr="006405BB">
        <w:t xml:space="preserve">, </w:t>
      </w:r>
      <w:r w:rsidRPr="006405BB">
        <w:rPr>
          <w:i/>
        </w:rPr>
        <w:t>6</w:t>
      </w:r>
      <w:r w:rsidRPr="006405BB">
        <w:t>, 6996.</w:t>
      </w:r>
    </w:p>
    <w:p w14:paraId="5C2179A4" w14:textId="77777777" w:rsidR="006405BB" w:rsidRPr="005167E5" w:rsidRDefault="006405BB" w:rsidP="006405BB">
      <w:pPr>
        <w:pStyle w:val="Literature"/>
        <w:spacing w:line="360" w:lineRule="auto"/>
        <w:rPr>
          <w:lang w:val="en-US"/>
        </w:rPr>
      </w:pPr>
      <w:r w:rsidRPr="006405BB">
        <w:t>[4]</w:t>
      </w:r>
      <w:r w:rsidRPr="006405BB">
        <w:tab/>
        <w:t xml:space="preserve">W. Ke, D. Zhao, C. Xiao, C. Wang, A. J. Cimaroli, C. R. Grice, M. Yang, Z. Li, C. -S. Jiang, M. Al-Jassim, K. Zhu, M. G. Kanatzidis, G. Fang, Y. Yan, </w:t>
      </w:r>
      <w:r w:rsidRPr="006405BB">
        <w:rPr>
          <w:i/>
        </w:rPr>
        <w:t xml:space="preserve">J. Mater. </w:t>
      </w:r>
      <w:r w:rsidRPr="001B29DA">
        <w:rPr>
          <w:i/>
          <w:lang w:val="en-US"/>
        </w:rPr>
        <w:t>Chem. A</w:t>
      </w:r>
      <w:r w:rsidRPr="001B29DA">
        <w:rPr>
          <w:lang w:val="en-US"/>
        </w:rPr>
        <w:t xml:space="preserve"> </w:t>
      </w:r>
      <w:r w:rsidRPr="001B29DA">
        <w:rPr>
          <w:b/>
          <w:lang w:val="en-US"/>
        </w:rPr>
        <w:t>2016</w:t>
      </w:r>
      <w:r>
        <w:rPr>
          <w:lang w:val="en-US"/>
        </w:rPr>
        <w:t xml:space="preserve">, </w:t>
      </w:r>
      <w:r w:rsidRPr="001B29DA">
        <w:rPr>
          <w:i/>
          <w:lang w:val="en-US"/>
        </w:rPr>
        <w:t>4</w:t>
      </w:r>
      <w:r w:rsidRPr="001B29DA">
        <w:rPr>
          <w:lang w:val="en-US"/>
        </w:rPr>
        <w:t>, 14276.</w:t>
      </w:r>
    </w:p>
    <w:p w14:paraId="0B447CF2" w14:textId="77777777" w:rsidR="006405BB" w:rsidRPr="00B24F38" w:rsidRDefault="006405BB" w:rsidP="006405BB">
      <w:pPr>
        <w:pStyle w:val="Literature"/>
        <w:spacing w:line="360" w:lineRule="auto"/>
        <w:rPr>
          <w:lang w:val="en-US"/>
        </w:rPr>
      </w:pPr>
      <w:r w:rsidRPr="00B24F38">
        <w:rPr>
          <w:lang w:val="en-US"/>
        </w:rPr>
        <w:t>[</w:t>
      </w:r>
      <w:r>
        <w:rPr>
          <w:lang w:val="en-US"/>
        </w:rPr>
        <w:t>5]</w:t>
      </w:r>
      <w:r>
        <w:rPr>
          <w:lang w:val="en-US"/>
        </w:rPr>
        <w:tab/>
      </w:r>
      <w:r w:rsidRPr="00485C1E">
        <w:rPr>
          <w:lang w:val="en-US"/>
        </w:rPr>
        <w:t xml:space="preserve">T. Cao, K. Chen, Q. Chen, Y. Zhou, N. Chen, Y. Li, </w:t>
      </w:r>
      <w:r w:rsidRPr="00485C1E">
        <w:rPr>
          <w:i/>
          <w:lang w:val="en-US"/>
        </w:rPr>
        <w:t>ACS Appl. Mater. Interfaces</w:t>
      </w:r>
      <w:r w:rsidRPr="00485C1E">
        <w:rPr>
          <w:lang w:val="en-US"/>
        </w:rPr>
        <w:t xml:space="preserve"> </w:t>
      </w:r>
      <w:r w:rsidRPr="00485C1E">
        <w:rPr>
          <w:b/>
          <w:lang w:val="en-US"/>
        </w:rPr>
        <w:t>2019</w:t>
      </w:r>
      <w:r>
        <w:rPr>
          <w:lang w:val="en-US"/>
        </w:rPr>
        <w:t xml:space="preserve">, </w:t>
      </w:r>
      <w:r w:rsidRPr="00485C1E">
        <w:rPr>
          <w:i/>
          <w:lang w:val="en-US"/>
        </w:rPr>
        <w:t>11</w:t>
      </w:r>
      <w:r w:rsidRPr="00485C1E">
        <w:rPr>
          <w:lang w:val="en-US"/>
        </w:rPr>
        <w:t>, 33825.</w:t>
      </w:r>
    </w:p>
    <w:p w14:paraId="5D7A06C3" w14:textId="77777777" w:rsidR="006405BB" w:rsidRDefault="006405BB" w:rsidP="006405BB">
      <w:pPr>
        <w:pStyle w:val="Literature"/>
        <w:spacing w:line="360" w:lineRule="auto"/>
        <w:rPr>
          <w:lang w:val="en-US"/>
        </w:rPr>
      </w:pPr>
      <w:r>
        <w:rPr>
          <w:lang w:val="en-US"/>
        </w:rPr>
        <w:t>[6]</w:t>
      </w:r>
      <w:r>
        <w:rPr>
          <w:lang w:val="en-US"/>
        </w:rPr>
        <w:tab/>
      </w:r>
      <w:r w:rsidRPr="001B29DA">
        <w:rPr>
          <w:lang w:val="en-US"/>
        </w:rPr>
        <w:t>Best Research-Cell Efficiency Chart | Photovoltaic Research | NREL</w:t>
      </w:r>
      <w:r>
        <w:rPr>
          <w:lang w:val="en-US"/>
        </w:rPr>
        <w:t xml:space="preserve">, </w:t>
      </w:r>
      <w:r w:rsidRPr="001B29DA">
        <w:rPr>
          <w:lang w:val="en-US"/>
        </w:rPr>
        <w:t>https://www.nrel.gov/pv/cell-efficiency.html</w:t>
      </w:r>
      <w:r>
        <w:rPr>
          <w:lang w:val="en-US"/>
        </w:rPr>
        <w:t xml:space="preserve">, accessed: July, </w:t>
      </w:r>
      <w:r>
        <w:rPr>
          <w:b/>
          <w:bCs/>
          <w:lang w:val="en-US"/>
        </w:rPr>
        <w:t>2024</w:t>
      </w:r>
      <w:r>
        <w:rPr>
          <w:lang w:val="en-US"/>
        </w:rPr>
        <w:t>.</w:t>
      </w:r>
    </w:p>
    <w:p w14:paraId="2D623F2F" w14:textId="77777777" w:rsidR="006405BB" w:rsidRPr="00485C1E" w:rsidRDefault="006405BB" w:rsidP="006405BB">
      <w:pPr>
        <w:pStyle w:val="Literature"/>
        <w:spacing w:line="360" w:lineRule="auto"/>
        <w:rPr>
          <w:lang w:val="it-IT"/>
        </w:rPr>
      </w:pPr>
      <w:r w:rsidRPr="00485C1E">
        <w:rPr>
          <w:lang w:val="it-IT"/>
        </w:rPr>
        <w:lastRenderedPageBreak/>
        <w:t>[7]</w:t>
      </w:r>
      <w:r w:rsidRPr="00485C1E">
        <w:rPr>
          <w:lang w:val="it-IT"/>
        </w:rPr>
        <w:tab/>
        <w:t xml:space="preserve">I. Ermanova, N. Yaghoobi Nia, E. Lamanna, E. Di Bartolomeo, E. Kolesnikov, L. Luchnikov, A. Di Carlo, </w:t>
      </w:r>
      <w:r w:rsidRPr="00485C1E">
        <w:rPr>
          <w:i/>
          <w:lang w:val="it-IT"/>
        </w:rPr>
        <w:t>Energies</w:t>
      </w:r>
      <w:r w:rsidRPr="00485C1E">
        <w:rPr>
          <w:lang w:val="it-IT"/>
        </w:rPr>
        <w:t xml:space="preserve"> </w:t>
      </w:r>
      <w:r w:rsidRPr="00485C1E">
        <w:rPr>
          <w:b/>
          <w:lang w:val="it-IT"/>
        </w:rPr>
        <w:t>2021</w:t>
      </w:r>
      <w:r w:rsidRPr="00485C1E">
        <w:rPr>
          <w:lang w:val="it-IT"/>
        </w:rPr>
        <w:t xml:space="preserve">, </w:t>
      </w:r>
      <w:r w:rsidRPr="00485C1E">
        <w:rPr>
          <w:i/>
          <w:lang w:val="it-IT"/>
        </w:rPr>
        <w:t>14</w:t>
      </w:r>
      <w:r w:rsidRPr="00485C1E">
        <w:rPr>
          <w:lang w:val="it-IT"/>
        </w:rPr>
        <w:t>, 1751.</w:t>
      </w:r>
    </w:p>
    <w:p w14:paraId="2D1EA779" w14:textId="77777777" w:rsidR="006405BB" w:rsidRPr="00480365" w:rsidRDefault="006405BB" w:rsidP="006405BB">
      <w:pPr>
        <w:pStyle w:val="Literature"/>
        <w:spacing w:line="360" w:lineRule="auto"/>
        <w:rPr>
          <w:lang w:val="it-IT"/>
        </w:rPr>
      </w:pPr>
      <w:r w:rsidRPr="00480365">
        <w:rPr>
          <w:lang w:val="it-IT"/>
        </w:rPr>
        <w:t>[8]</w:t>
      </w:r>
      <w:r w:rsidRPr="00480365">
        <w:rPr>
          <w:lang w:val="it-IT"/>
        </w:rPr>
        <w:tab/>
        <w:t xml:space="preserve">W. </w:t>
      </w:r>
      <w:proofErr w:type="spellStart"/>
      <w:r w:rsidRPr="00480365">
        <w:rPr>
          <w:lang w:val="it-IT"/>
        </w:rPr>
        <w:t>Ke</w:t>
      </w:r>
      <w:proofErr w:type="spellEnd"/>
      <w:r w:rsidRPr="00480365">
        <w:rPr>
          <w:lang w:val="it-IT"/>
        </w:rPr>
        <w:t xml:space="preserve">, G. Fang, J. Wan, H. Tao, Q. Liu, L. </w:t>
      </w:r>
      <w:proofErr w:type="spellStart"/>
      <w:r w:rsidRPr="00480365">
        <w:rPr>
          <w:lang w:val="it-IT"/>
        </w:rPr>
        <w:t>Xiong</w:t>
      </w:r>
      <w:proofErr w:type="spellEnd"/>
      <w:r w:rsidRPr="00480365">
        <w:rPr>
          <w:lang w:val="it-IT"/>
        </w:rPr>
        <w:t xml:space="preserve">, P. </w:t>
      </w:r>
      <w:proofErr w:type="spellStart"/>
      <w:r w:rsidRPr="00480365">
        <w:rPr>
          <w:lang w:val="it-IT"/>
        </w:rPr>
        <w:t>Qin</w:t>
      </w:r>
      <w:proofErr w:type="spellEnd"/>
      <w:r w:rsidRPr="00480365">
        <w:rPr>
          <w:lang w:val="it-IT"/>
        </w:rPr>
        <w:t xml:space="preserve">, J. Wang, H. Lei, G. Yang, M. </w:t>
      </w:r>
      <w:proofErr w:type="spellStart"/>
      <w:r w:rsidRPr="00480365">
        <w:rPr>
          <w:lang w:val="it-IT"/>
        </w:rPr>
        <w:t>Qin</w:t>
      </w:r>
      <w:proofErr w:type="spellEnd"/>
      <w:r w:rsidRPr="00480365">
        <w:rPr>
          <w:lang w:val="it-IT"/>
        </w:rPr>
        <w:t xml:space="preserve">, X. Zhao, Y. </w:t>
      </w:r>
      <w:proofErr w:type="spellStart"/>
      <w:r w:rsidRPr="00480365">
        <w:rPr>
          <w:lang w:val="it-IT"/>
        </w:rPr>
        <w:t>Yan</w:t>
      </w:r>
      <w:proofErr w:type="spellEnd"/>
      <w:r w:rsidRPr="00480365">
        <w:rPr>
          <w:lang w:val="it-IT"/>
        </w:rPr>
        <w:t xml:space="preserve">, </w:t>
      </w:r>
      <w:proofErr w:type="spellStart"/>
      <w:r w:rsidRPr="00480365">
        <w:rPr>
          <w:i/>
          <w:lang w:val="it-IT"/>
        </w:rPr>
        <w:t>Nat</w:t>
      </w:r>
      <w:proofErr w:type="spellEnd"/>
      <w:r w:rsidRPr="00480365">
        <w:rPr>
          <w:i/>
          <w:lang w:val="it-IT"/>
        </w:rPr>
        <w:t xml:space="preserve">. </w:t>
      </w:r>
      <w:proofErr w:type="spellStart"/>
      <w:r w:rsidRPr="00480365">
        <w:rPr>
          <w:i/>
          <w:lang w:val="it-IT"/>
        </w:rPr>
        <w:t>Commun</w:t>
      </w:r>
      <w:proofErr w:type="spellEnd"/>
      <w:r w:rsidRPr="00480365">
        <w:rPr>
          <w:i/>
          <w:lang w:val="it-IT"/>
        </w:rPr>
        <w:t>.</w:t>
      </w:r>
      <w:r w:rsidRPr="00480365">
        <w:rPr>
          <w:lang w:val="it-IT"/>
        </w:rPr>
        <w:t xml:space="preserve"> </w:t>
      </w:r>
      <w:r w:rsidRPr="00480365">
        <w:rPr>
          <w:b/>
          <w:lang w:val="it-IT"/>
        </w:rPr>
        <w:t>2015</w:t>
      </w:r>
      <w:r w:rsidRPr="00480365">
        <w:rPr>
          <w:lang w:val="it-IT"/>
        </w:rPr>
        <w:t xml:space="preserve">, </w:t>
      </w:r>
      <w:r w:rsidRPr="00480365">
        <w:rPr>
          <w:i/>
          <w:lang w:val="it-IT"/>
        </w:rPr>
        <w:t>6</w:t>
      </w:r>
      <w:r w:rsidRPr="00480365">
        <w:rPr>
          <w:lang w:val="it-IT"/>
        </w:rPr>
        <w:t>, 6700.</w:t>
      </w:r>
    </w:p>
    <w:p w14:paraId="0C0B85AE" w14:textId="77777777" w:rsidR="006405BB" w:rsidRPr="00480365" w:rsidRDefault="006405BB" w:rsidP="006405BB">
      <w:pPr>
        <w:pStyle w:val="Literature"/>
        <w:spacing w:line="360" w:lineRule="auto"/>
        <w:rPr>
          <w:lang w:val="it-IT"/>
        </w:rPr>
      </w:pPr>
      <w:r w:rsidRPr="00480365">
        <w:rPr>
          <w:lang w:val="it-IT"/>
        </w:rPr>
        <w:t>[9]</w:t>
      </w:r>
      <w:r w:rsidRPr="00480365">
        <w:rPr>
          <w:lang w:val="it-IT"/>
        </w:rPr>
        <w:tab/>
        <w:t xml:space="preserve">H. Zhou, Q. Chen, G. Li, S. </w:t>
      </w:r>
      <w:proofErr w:type="spellStart"/>
      <w:r w:rsidRPr="00480365">
        <w:rPr>
          <w:lang w:val="it-IT"/>
        </w:rPr>
        <w:t>Luo</w:t>
      </w:r>
      <w:proofErr w:type="spellEnd"/>
      <w:r w:rsidRPr="00480365">
        <w:rPr>
          <w:lang w:val="it-IT"/>
        </w:rPr>
        <w:t xml:space="preserve">, T. -B. Song, H. -S. </w:t>
      </w:r>
      <w:proofErr w:type="spellStart"/>
      <w:r w:rsidRPr="00480365">
        <w:rPr>
          <w:lang w:val="it-IT"/>
        </w:rPr>
        <w:t>Duan</w:t>
      </w:r>
      <w:proofErr w:type="spellEnd"/>
      <w:r w:rsidRPr="00480365">
        <w:rPr>
          <w:lang w:val="it-IT"/>
        </w:rPr>
        <w:t xml:space="preserve">, Z. Hong, Y. Yang, </w:t>
      </w:r>
      <w:r w:rsidRPr="00480365">
        <w:rPr>
          <w:i/>
          <w:lang w:val="it-IT"/>
        </w:rPr>
        <w:t>Science</w:t>
      </w:r>
      <w:r w:rsidRPr="00480365">
        <w:rPr>
          <w:lang w:val="it-IT"/>
        </w:rPr>
        <w:t xml:space="preserve"> </w:t>
      </w:r>
      <w:r w:rsidRPr="00480365">
        <w:rPr>
          <w:b/>
          <w:lang w:val="it-IT"/>
        </w:rPr>
        <w:t>2014</w:t>
      </w:r>
      <w:r w:rsidRPr="00480365">
        <w:rPr>
          <w:lang w:val="it-IT"/>
        </w:rPr>
        <w:t xml:space="preserve">, </w:t>
      </w:r>
      <w:r w:rsidRPr="00480365">
        <w:rPr>
          <w:i/>
          <w:lang w:val="it-IT"/>
        </w:rPr>
        <w:t>345</w:t>
      </w:r>
      <w:r w:rsidRPr="00480365">
        <w:rPr>
          <w:lang w:val="it-IT"/>
        </w:rPr>
        <w:t>, 542.</w:t>
      </w:r>
    </w:p>
    <w:p w14:paraId="31142AF2" w14:textId="77777777" w:rsidR="006405BB" w:rsidRDefault="006405BB" w:rsidP="006405BB">
      <w:pPr>
        <w:pStyle w:val="Literature"/>
        <w:spacing w:line="360" w:lineRule="auto"/>
        <w:rPr>
          <w:color w:val="FF0000"/>
          <w:lang w:val="en-US"/>
        </w:rPr>
      </w:pPr>
      <w:r>
        <w:rPr>
          <w:lang w:val="en-US"/>
        </w:rPr>
        <w:t>[10]</w:t>
      </w:r>
      <w:r>
        <w:rPr>
          <w:lang w:val="en-US"/>
        </w:rPr>
        <w:tab/>
      </w:r>
      <w:r w:rsidRPr="00485C1E">
        <w:rPr>
          <w:lang w:val="en-US"/>
        </w:rPr>
        <w:t>I</w:t>
      </w:r>
      <w:proofErr w:type="gramStart"/>
      <w:r w:rsidRPr="00485C1E">
        <w:rPr>
          <w:lang w:val="en-US"/>
        </w:rPr>
        <w:t>. O</w:t>
      </w:r>
      <w:proofErr w:type="gramEnd"/>
      <w:r w:rsidRPr="00485C1E">
        <w:rPr>
          <w:lang w:val="en-US"/>
        </w:rPr>
        <w:t xml:space="preserve">. Oboh, U. H. Offor, N. D. Okon, </w:t>
      </w:r>
      <w:r w:rsidRPr="00485C1E">
        <w:rPr>
          <w:i/>
          <w:lang w:val="en-US"/>
        </w:rPr>
        <w:t>Energy Rep.</w:t>
      </w:r>
      <w:r w:rsidRPr="00485C1E">
        <w:rPr>
          <w:lang w:val="en-US"/>
        </w:rPr>
        <w:t xml:space="preserve"> </w:t>
      </w:r>
      <w:r w:rsidRPr="00485C1E">
        <w:rPr>
          <w:b/>
          <w:lang w:val="en-US"/>
        </w:rPr>
        <w:t>2022</w:t>
      </w:r>
      <w:r>
        <w:rPr>
          <w:lang w:val="en-US"/>
        </w:rPr>
        <w:t xml:space="preserve">, </w:t>
      </w:r>
      <w:r w:rsidRPr="00485C1E">
        <w:rPr>
          <w:i/>
          <w:lang w:val="en-US"/>
        </w:rPr>
        <w:t>8</w:t>
      </w:r>
      <w:r w:rsidRPr="00485C1E">
        <w:rPr>
          <w:lang w:val="en-US"/>
        </w:rPr>
        <w:t>, 973.</w:t>
      </w:r>
    </w:p>
    <w:p w14:paraId="6DC04B5F" w14:textId="77777777" w:rsidR="006405BB" w:rsidRDefault="006405BB" w:rsidP="006405BB">
      <w:pPr>
        <w:pStyle w:val="Literature"/>
        <w:spacing w:line="360" w:lineRule="auto"/>
        <w:rPr>
          <w:lang w:val="en-US"/>
        </w:rPr>
      </w:pPr>
      <w:r w:rsidRPr="005167E5">
        <w:rPr>
          <w:lang w:val="en-US"/>
        </w:rPr>
        <w:t>[1</w:t>
      </w:r>
      <w:r>
        <w:rPr>
          <w:lang w:val="en-US"/>
        </w:rPr>
        <w:t>1</w:t>
      </w:r>
      <w:r w:rsidRPr="005167E5">
        <w:rPr>
          <w:lang w:val="en-US"/>
        </w:rPr>
        <w:t>]</w:t>
      </w:r>
      <w:r w:rsidRPr="005167E5">
        <w:rPr>
          <w:lang w:val="en-US"/>
        </w:rPr>
        <w:tab/>
      </w:r>
      <w:r w:rsidRPr="00852403">
        <w:rPr>
          <w:lang w:val="en-US"/>
        </w:rPr>
        <w:t xml:space="preserve">S. Foo, M. </w:t>
      </w:r>
      <w:proofErr w:type="spellStart"/>
      <w:r w:rsidRPr="00852403">
        <w:rPr>
          <w:lang w:val="en-US"/>
        </w:rPr>
        <w:t>Thambidurai</w:t>
      </w:r>
      <w:proofErr w:type="spellEnd"/>
      <w:r w:rsidRPr="00852403">
        <w:rPr>
          <w:lang w:val="en-US"/>
        </w:rPr>
        <w:t xml:space="preserve">, P. Senthil Kumar, R. </w:t>
      </w:r>
      <w:proofErr w:type="spellStart"/>
      <w:r w:rsidRPr="00852403">
        <w:rPr>
          <w:lang w:val="en-US"/>
        </w:rPr>
        <w:t>Yuvakkumar</w:t>
      </w:r>
      <w:proofErr w:type="spellEnd"/>
      <w:r w:rsidRPr="00852403">
        <w:rPr>
          <w:lang w:val="en-US"/>
        </w:rPr>
        <w:t xml:space="preserve">, Y. Huang, C. Dang, </w:t>
      </w:r>
      <w:r w:rsidRPr="00852403">
        <w:rPr>
          <w:i/>
          <w:lang w:val="en-US"/>
        </w:rPr>
        <w:t>Int. J. Energy Res.</w:t>
      </w:r>
      <w:r w:rsidRPr="00852403">
        <w:rPr>
          <w:lang w:val="en-US"/>
        </w:rPr>
        <w:t xml:space="preserve"> </w:t>
      </w:r>
      <w:r w:rsidRPr="00852403">
        <w:rPr>
          <w:b/>
          <w:lang w:val="en-US"/>
        </w:rPr>
        <w:t>2022</w:t>
      </w:r>
      <w:r>
        <w:rPr>
          <w:lang w:val="en-US"/>
        </w:rPr>
        <w:t xml:space="preserve">, </w:t>
      </w:r>
      <w:r w:rsidRPr="00852403">
        <w:rPr>
          <w:i/>
          <w:lang w:val="en-US"/>
        </w:rPr>
        <w:t>46</w:t>
      </w:r>
      <w:r w:rsidRPr="00852403">
        <w:rPr>
          <w:lang w:val="en-US"/>
        </w:rPr>
        <w:t>, 21441.</w:t>
      </w:r>
    </w:p>
    <w:p w14:paraId="051863F7" w14:textId="77777777" w:rsidR="006405BB" w:rsidRPr="005167E5" w:rsidRDefault="006405BB" w:rsidP="006405BB">
      <w:pPr>
        <w:pStyle w:val="Literature"/>
        <w:spacing w:line="360" w:lineRule="auto"/>
        <w:rPr>
          <w:lang w:val="en-US"/>
        </w:rPr>
      </w:pPr>
      <w:r>
        <w:rPr>
          <w:lang w:val="en-US"/>
        </w:rPr>
        <w:t>[12</w:t>
      </w:r>
      <w:r w:rsidRPr="005167E5">
        <w:rPr>
          <w:lang w:val="en-US"/>
        </w:rPr>
        <w:t>]</w:t>
      </w:r>
      <w:r w:rsidRPr="005167E5">
        <w:rPr>
          <w:lang w:val="en-US"/>
        </w:rPr>
        <w:tab/>
      </w:r>
      <w:r w:rsidRPr="00852403">
        <w:rPr>
          <w:lang w:val="en-US"/>
        </w:rPr>
        <w:t>H. Liu, S. Hussain, D. Vikraman, J. Lee, S. H. A. Jaffery, J. Jung, H. -S. Kim, J. Kang,</w:t>
      </w:r>
      <w:r>
        <w:rPr>
          <w:lang w:val="en-US"/>
        </w:rPr>
        <w:t xml:space="preserve"> </w:t>
      </w:r>
      <w:r w:rsidRPr="00852403">
        <w:rPr>
          <w:i/>
          <w:lang w:val="en-US"/>
        </w:rPr>
        <w:t>J. Alloys Compd.</w:t>
      </w:r>
      <w:r w:rsidRPr="00852403">
        <w:rPr>
          <w:lang w:val="en-US"/>
        </w:rPr>
        <w:t xml:space="preserve"> </w:t>
      </w:r>
      <w:r w:rsidRPr="00852403">
        <w:rPr>
          <w:b/>
          <w:lang w:val="en-US"/>
        </w:rPr>
        <w:t>2022</w:t>
      </w:r>
      <w:r>
        <w:rPr>
          <w:lang w:val="en-US"/>
        </w:rPr>
        <w:t xml:space="preserve">, </w:t>
      </w:r>
      <w:r w:rsidRPr="00852403">
        <w:rPr>
          <w:i/>
          <w:lang w:val="en-US"/>
        </w:rPr>
        <w:t>906</w:t>
      </w:r>
      <w:r w:rsidRPr="00852403">
        <w:rPr>
          <w:lang w:val="en-US"/>
        </w:rPr>
        <w:t>, 164399.</w:t>
      </w:r>
    </w:p>
    <w:p w14:paraId="13BFB64D" w14:textId="77777777" w:rsidR="006405BB" w:rsidRPr="005167E5" w:rsidRDefault="006405BB" w:rsidP="006405BB">
      <w:pPr>
        <w:pStyle w:val="Literature"/>
        <w:spacing w:line="360" w:lineRule="auto"/>
        <w:rPr>
          <w:lang w:val="en-US"/>
        </w:rPr>
      </w:pPr>
      <w:r>
        <w:rPr>
          <w:lang w:val="en-US"/>
        </w:rPr>
        <w:t>[13</w:t>
      </w:r>
      <w:r w:rsidRPr="005167E5">
        <w:rPr>
          <w:lang w:val="en-US"/>
        </w:rPr>
        <w:t>]</w:t>
      </w:r>
      <w:r w:rsidRPr="005167E5">
        <w:rPr>
          <w:lang w:val="en-US"/>
        </w:rPr>
        <w:tab/>
      </w:r>
      <w:r w:rsidRPr="00852403">
        <w:rPr>
          <w:lang w:val="en-US"/>
        </w:rPr>
        <w:t xml:space="preserve">W. -J. Yin, T. Shi, Y. Yan, </w:t>
      </w:r>
      <w:r w:rsidRPr="00852403">
        <w:rPr>
          <w:i/>
          <w:lang w:val="en-US"/>
        </w:rPr>
        <w:t>Appl. Phys. Lett.</w:t>
      </w:r>
      <w:r w:rsidRPr="00852403">
        <w:rPr>
          <w:lang w:val="en-US"/>
        </w:rPr>
        <w:t xml:space="preserve"> </w:t>
      </w:r>
      <w:r w:rsidRPr="00852403">
        <w:rPr>
          <w:b/>
          <w:lang w:val="en-US"/>
        </w:rPr>
        <w:t>2014</w:t>
      </w:r>
      <w:r>
        <w:rPr>
          <w:lang w:val="en-US"/>
        </w:rPr>
        <w:t xml:space="preserve">, </w:t>
      </w:r>
      <w:r w:rsidRPr="00852403">
        <w:rPr>
          <w:i/>
          <w:lang w:val="en-US"/>
        </w:rPr>
        <w:t>104</w:t>
      </w:r>
      <w:r w:rsidRPr="00852403">
        <w:rPr>
          <w:lang w:val="en-US"/>
        </w:rPr>
        <w:t>, 063903.</w:t>
      </w:r>
    </w:p>
    <w:p w14:paraId="3CC16AF6" w14:textId="77777777" w:rsidR="006405BB" w:rsidRPr="006405BB" w:rsidRDefault="006405BB" w:rsidP="006405BB">
      <w:pPr>
        <w:pStyle w:val="Literature"/>
        <w:spacing w:line="360" w:lineRule="auto"/>
        <w:rPr>
          <w:lang w:val="it-IT"/>
        </w:rPr>
      </w:pPr>
      <w:r w:rsidRPr="006405BB">
        <w:t>[14]</w:t>
      </w:r>
      <w:r w:rsidRPr="006405BB">
        <w:tab/>
        <w:t xml:space="preserve">Z. Yang, Q. Fan, T. Shen, J. Jin, W. Deng, J. Xin, X. Huang, X. Wang, J. Li, </w:t>
      </w:r>
      <w:r w:rsidRPr="006405BB">
        <w:rPr>
          <w:i/>
        </w:rPr>
        <w:t xml:space="preserve">Sol. </w:t>
      </w:r>
      <w:r w:rsidRPr="006405BB">
        <w:rPr>
          <w:i/>
          <w:lang w:val="it-IT"/>
        </w:rPr>
        <w:t>Energy</w:t>
      </w:r>
      <w:r w:rsidRPr="006405BB">
        <w:rPr>
          <w:lang w:val="it-IT"/>
        </w:rPr>
        <w:t xml:space="preserve"> </w:t>
      </w:r>
      <w:r w:rsidRPr="006405BB">
        <w:rPr>
          <w:b/>
          <w:lang w:val="it-IT"/>
        </w:rPr>
        <w:t>2020</w:t>
      </w:r>
      <w:r w:rsidRPr="006405BB">
        <w:rPr>
          <w:lang w:val="it-IT"/>
        </w:rPr>
        <w:t xml:space="preserve">, </w:t>
      </w:r>
      <w:r w:rsidRPr="006405BB">
        <w:rPr>
          <w:i/>
          <w:lang w:val="it-IT"/>
        </w:rPr>
        <w:t>204</w:t>
      </w:r>
      <w:r w:rsidRPr="006405BB">
        <w:rPr>
          <w:lang w:val="it-IT"/>
        </w:rPr>
        <w:t>, 223.</w:t>
      </w:r>
    </w:p>
    <w:p w14:paraId="633121AD" w14:textId="77777777" w:rsidR="006405BB" w:rsidRPr="006A1716" w:rsidRDefault="006405BB" w:rsidP="006405BB">
      <w:pPr>
        <w:pStyle w:val="Literature"/>
        <w:spacing w:line="360" w:lineRule="auto"/>
        <w:rPr>
          <w:lang w:val="it-IT"/>
        </w:rPr>
      </w:pPr>
      <w:r w:rsidRPr="006A1716">
        <w:rPr>
          <w:lang w:val="it-IT"/>
        </w:rPr>
        <w:t>[15]</w:t>
      </w:r>
      <w:r w:rsidRPr="006A1716">
        <w:rPr>
          <w:lang w:val="it-IT"/>
        </w:rPr>
        <w:tab/>
        <w:t xml:space="preserve">J. -X. Song, X. -X. Yin, Z. -F. Li, Y. -W. Li, </w:t>
      </w:r>
      <w:r w:rsidRPr="006A1716">
        <w:rPr>
          <w:i/>
          <w:lang w:val="it-IT"/>
        </w:rPr>
        <w:t>Rare Met.</w:t>
      </w:r>
      <w:r w:rsidRPr="006A1716">
        <w:rPr>
          <w:lang w:val="it-IT"/>
        </w:rPr>
        <w:t xml:space="preserve"> </w:t>
      </w:r>
      <w:r w:rsidRPr="006A1716">
        <w:rPr>
          <w:b/>
          <w:lang w:val="it-IT"/>
        </w:rPr>
        <w:t>2021</w:t>
      </w:r>
      <w:r>
        <w:rPr>
          <w:lang w:val="it-IT"/>
        </w:rPr>
        <w:t xml:space="preserve">, </w:t>
      </w:r>
      <w:r w:rsidRPr="006A1716">
        <w:rPr>
          <w:i/>
          <w:lang w:val="it-IT"/>
        </w:rPr>
        <w:t>40</w:t>
      </w:r>
      <w:r w:rsidRPr="006A1716">
        <w:rPr>
          <w:lang w:val="it-IT"/>
        </w:rPr>
        <w:t>, 2730.</w:t>
      </w:r>
    </w:p>
    <w:p w14:paraId="6EE5E088" w14:textId="77777777" w:rsidR="006405BB" w:rsidRDefault="006405BB" w:rsidP="006405BB">
      <w:pPr>
        <w:pStyle w:val="Literature"/>
        <w:spacing w:line="360" w:lineRule="auto"/>
        <w:rPr>
          <w:lang w:val="en-US"/>
        </w:rPr>
      </w:pPr>
      <w:r>
        <w:rPr>
          <w:lang w:val="en-US"/>
        </w:rPr>
        <w:t>[16]</w:t>
      </w:r>
      <w:r>
        <w:rPr>
          <w:lang w:val="en-US"/>
        </w:rPr>
        <w:tab/>
      </w:r>
      <w:r w:rsidRPr="006A1716">
        <w:rPr>
          <w:lang w:val="en-US"/>
        </w:rPr>
        <w:t xml:space="preserve">Q. -Q. Ye, M. Li, X. -B. Shi, M. -P. Zhuo, K. -L. Wang, F. </w:t>
      </w:r>
      <w:proofErr w:type="spellStart"/>
      <w:r w:rsidRPr="006A1716">
        <w:rPr>
          <w:lang w:val="en-US"/>
        </w:rPr>
        <w:t>Igbari</w:t>
      </w:r>
      <w:proofErr w:type="spellEnd"/>
      <w:r w:rsidRPr="006A1716">
        <w:rPr>
          <w:lang w:val="en-US"/>
        </w:rPr>
        <w:t xml:space="preserve">, Z. -K. Wang, L. -S. Liao, </w:t>
      </w:r>
      <w:r w:rsidRPr="006A1716">
        <w:rPr>
          <w:i/>
          <w:lang w:val="en-US"/>
        </w:rPr>
        <w:t>ACS Appl. Mater. Interfaces</w:t>
      </w:r>
      <w:r w:rsidRPr="006A1716">
        <w:rPr>
          <w:lang w:val="en-US"/>
        </w:rPr>
        <w:t xml:space="preserve"> </w:t>
      </w:r>
      <w:r w:rsidRPr="006A1716">
        <w:rPr>
          <w:b/>
          <w:lang w:val="en-US"/>
        </w:rPr>
        <w:t>2020</w:t>
      </w:r>
      <w:r>
        <w:rPr>
          <w:lang w:val="en-US"/>
        </w:rPr>
        <w:t xml:space="preserve">, </w:t>
      </w:r>
      <w:r w:rsidRPr="006A1716">
        <w:rPr>
          <w:i/>
          <w:lang w:val="en-US"/>
        </w:rPr>
        <w:t>12</w:t>
      </w:r>
      <w:r w:rsidRPr="006A1716">
        <w:rPr>
          <w:lang w:val="en-US"/>
        </w:rPr>
        <w:t>, 21772.</w:t>
      </w:r>
    </w:p>
    <w:p w14:paraId="03E3B6D3" w14:textId="77777777" w:rsidR="006405BB" w:rsidRPr="00B24F38" w:rsidRDefault="006405BB" w:rsidP="006405BB">
      <w:pPr>
        <w:pStyle w:val="Literature"/>
        <w:spacing w:line="360" w:lineRule="auto"/>
        <w:rPr>
          <w:lang w:val="en-US"/>
        </w:rPr>
      </w:pPr>
      <w:r>
        <w:rPr>
          <w:lang w:val="en-US"/>
        </w:rPr>
        <w:t>[17]</w:t>
      </w:r>
      <w:r>
        <w:rPr>
          <w:lang w:val="en-US"/>
        </w:rPr>
        <w:tab/>
      </w:r>
      <w:r w:rsidRPr="006A1716">
        <w:rPr>
          <w:lang w:val="en-US"/>
        </w:rPr>
        <w:t xml:space="preserve">X. Li, F. Hao, X. Zhao, X. Yin, Z. Yao, Y. Guo, H. Shen, H. Lin, </w:t>
      </w:r>
      <w:r w:rsidRPr="006A1716">
        <w:rPr>
          <w:i/>
          <w:lang w:val="en-US"/>
        </w:rPr>
        <w:t>ACS Appl. Mater. Interfaces</w:t>
      </w:r>
      <w:r w:rsidRPr="006A1716">
        <w:rPr>
          <w:lang w:val="en-US"/>
        </w:rPr>
        <w:t xml:space="preserve"> </w:t>
      </w:r>
      <w:r w:rsidRPr="006A1716">
        <w:rPr>
          <w:b/>
          <w:lang w:val="en-US"/>
        </w:rPr>
        <w:t>2017</w:t>
      </w:r>
      <w:r>
        <w:rPr>
          <w:lang w:val="en-US"/>
        </w:rPr>
        <w:t xml:space="preserve">, </w:t>
      </w:r>
      <w:r w:rsidRPr="006A1716">
        <w:rPr>
          <w:i/>
          <w:lang w:val="en-US"/>
        </w:rPr>
        <w:t>9</w:t>
      </w:r>
      <w:r w:rsidRPr="006A1716">
        <w:rPr>
          <w:lang w:val="en-US"/>
        </w:rPr>
        <w:t>, 34833.</w:t>
      </w:r>
    </w:p>
    <w:p w14:paraId="51E9620A" w14:textId="77777777" w:rsidR="006405BB" w:rsidRDefault="006405BB" w:rsidP="006405BB">
      <w:pPr>
        <w:pStyle w:val="Literature"/>
        <w:spacing w:line="360" w:lineRule="auto"/>
        <w:rPr>
          <w:lang w:val="en-US"/>
        </w:rPr>
      </w:pPr>
      <w:r>
        <w:rPr>
          <w:lang w:val="en-US"/>
        </w:rPr>
        <w:t>[18]</w:t>
      </w:r>
      <w:r>
        <w:rPr>
          <w:lang w:val="en-US"/>
        </w:rPr>
        <w:tab/>
      </w:r>
      <w:r w:rsidRPr="00AE2AC3">
        <w:rPr>
          <w:lang w:val="en-US"/>
        </w:rPr>
        <w:t>J. Wei, F. Guo, B. Liu, X. Sun, X. Wang, Z. Yang, K. Xu, M. Lei, Y. Zhao, D. Xu,</w:t>
      </w:r>
      <w:r>
        <w:rPr>
          <w:lang w:val="en-US"/>
        </w:rPr>
        <w:t xml:space="preserve"> </w:t>
      </w:r>
      <w:r w:rsidRPr="00AE2AC3">
        <w:rPr>
          <w:i/>
          <w:lang w:val="en-US"/>
        </w:rPr>
        <w:t>Adv. Energy Mater.</w:t>
      </w:r>
      <w:r w:rsidRPr="00AE2AC3">
        <w:rPr>
          <w:lang w:val="en-US"/>
        </w:rPr>
        <w:t xml:space="preserve"> </w:t>
      </w:r>
      <w:r w:rsidRPr="00AE2AC3">
        <w:rPr>
          <w:b/>
          <w:lang w:val="en-US"/>
        </w:rPr>
        <w:t>2019</w:t>
      </w:r>
      <w:r>
        <w:rPr>
          <w:lang w:val="en-US"/>
        </w:rPr>
        <w:t xml:space="preserve">, </w:t>
      </w:r>
      <w:r w:rsidRPr="00AE2AC3">
        <w:rPr>
          <w:i/>
          <w:lang w:val="en-US"/>
        </w:rPr>
        <w:t>9</w:t>
      </w:r>
      <w:r w:rsidRPr="00AE2AC3">
        <w:rPr>
          <w:lang w:val="en-US"/>
        </w:rPr>
        <w:t>, 1901620.</w:t>
      </w:r>
    </w:p>
    <w:p w14:paraId="01630BFA" w14:textId="77777777" w:rsidR="006405BB" w:rsidRPr="00216F54" w:rsidRDefault="006405BB" w:rsidP="006405BB">
      <w:pPr>
        <w:pStyle w:val="Literature"/>
        <w:spacing w:line="360" w:lineRule="auto"/>
        <w:rPr>
          <w:lang w:val="en-GB"/>
        </w:rPr>
      </w:pPr>
      <w:r w:rsidRPr="00216F54">
        <w:rPr>
          <w:lang w:val="en-GB"/>
        </w:rPr>
        <w:t>[</w:t>
      </w:r>
      <w:r>
        <w:rPr>
          <w:lang w:val="en-GB"/>
        </w:rPr>
        <w:t>1</w:t>
      </w:r>
      <w:r w:rsidRPr="00216F54">
        <w:rPr>
          <w:lang w:val="en-GB"/>
        </w:rPr>
        <w:t>9]</w:t>
      </w:r>
      <w:r w:rsidRPr="00216F54">
        <w:rPr>
          <w:lang w:val="en-GB"/>
        </w:rPr>
        <w:tab/>
      </w:r>
      <w:r w:rsidRPr="001108BC">
        <w:rPr>
          <w:lang w:val="en-GB"/>
        </w:rPr>
        <w:t xml:space="preserve">L. S. Oh, D. H. Kim, J. A. Lee, S. S. Shin, J. -W. Lee, I. J. Park, M. J. Ko, N. -G. Park, S. G. Pyo, K. S. Hong, J. Y. Kim, </w:t>
      </w:r>
      <w:r w:rsidRPr="001108BC">
        <w:rPr>
          <w:i/>
          <w:lang w:val="en-GB"/>
        </w:rPr>
        <w:t>J. Phys. Chem. C</w:t>
      </w:r>
      <w:r w:rsidRPr="001108BC">
        <w:rPr>
          <w:lang w:val="en-GB"/>
        </w:rPr>
        <w:t xml:space="preserve"> </w:t>
      </w:r>
      <w:r w:rsidRPr="001108BC">
        <w:rPr>
          <w:b/>
          <w:lang w:val="en-GB"/>
        </w:rPr>
        <w:t>2014</w:t>
      </w:r>
      <w:r>
        <w:rPr>
          <w:lang w:val="en-GB"/>
        </w:rPr>
        <w:t xml:space="preserve">, </w:t>
      </w:r>
      <w:r w:rsidRPr="001108BC">
        <w:rPr>
          <w:i/>
          <w:lang w:val="en-GB"/>
        </w:rPr>
        <w:t>118</w:t>
      </w:r>
      <w:r w:rsidRPr="001108BC">
        <w:rPr>
          <w:lang w:val="en-GB"/>
        </w:rPr>
        <w:t>, 22991.</w:t>
      </w:r>
    </w:p>
    <w:p w14:paraId="4FCF3057" w14:textId="77777777" w:rsidR="006405BB" w:rsidRPr="00AB60F8" w:rsidRDefault="006405BB" w:rsidP="006405BB">
      <w:pPr>
        <w:pStyle w:val="Literature"/>
        <w:spacing w:line="360" w:lineRule="auto"/>
        <w:rPr>
          <w:lang w:val="en-US"/>
        </w:rPr>
      </w:pPr>
      <w:r>
        <w:rPr>
          <w:lang w:val="en-US"/>
        </w:rPr>
        <w:t>[20]</w:t>
      </w:r>
      <w:r>
        <w:rPr>
          <w:lang w:val="en-US"/>
        </w:rPr>
        <w:tab/>
      </w:r>
      <w:r w:rsidRPr="00AB60F8">
        <w:rPr>
          <w:lang w:val="en-US"/>
        </w:rPr>
        <w:t xml:space="preserve">M. </w:t>
      </w:r>
      <w:proofErr w:type="spellStart"/>
      <w:r w:rsidRPr="00AB60F8">
        <w:rPr>
          <w:lang w:val="en-US"/>
        </w:rPr>
        <w:t>Thambidurai</w:t>
      </w:r>
      <w:proofErr w:type="spellEnd"/>
      <w:r w:rsidRPr="00AB60F8">
        <w:rPr>
          <w:lang w:val="en-US"/>
        </w:rPr>
        <w:t xml:space="preserve">, F. Shini, P. C. Harikesh, N. Mathews, C. Dang, </w:t>
      </w:r>
      <w:r w:rsidRPr="00AB60F8">
        <w:rPr>
          <w:i/>
          <w:lang w:val="en-US"/>
        </w:rPr>
        <w:t>J. Power Sources</w:t>
      </w:r>
      <w:r w:rsidRPr="00AB60F8">
        <w:rPr>
          <w:lang w:val="en-US"/>
        </w:rPr>
        <w:t xml:space="preserve"> </w:t>
      </w:r>
      <w:r w:rsidRPr="00AB60F8">
        <w:rPr>
          <w:b/>
          <w:lang w:val="en-US"/>
        </w:rPr>
        <w:t>2020</w:t>
      </w:r>
      <w:r w:rsidRPr="00AB60F8">
        <w:rPr>
          <w:lang w:val="en-US"/>
        </w:rPr>
        <w:t xml:space="preserve">, </w:t>
      </w:r>
      <w:r w:rsidRPr="00AB60F8">
        <w:rPr>
          <w:i/>
          <w:lang w:val="en-US"/>
        </w:rPr>
        <w:t>448</w:t>
      </w:r>
      <w:r w:rsidRPr="00AB60F8">
        <w:rPr>
          <w:lang w:val="en-US"/>
        </w:rPr>
        <w:t>, 227362.</w:t>
      </w:r>
    </w:p>
    <w:p w14:paraId="5A7E4E20" w14:textId="77777777" w:rsidR="006405BB" w:rsidRDefault="006405BB" w:rsidP="006405BB">
      <w:pPr>
        <w:pStyle w:val="Literature"/>
        <w:spacing w:line="360" w:lineRule="auto"/>
        <w:rPr>
          <w:lang w:val="en-US"/>
        </w:rPr>
      </w:pPr>
      <w:r w:rsidRPr="005167E5">
        <w:rPr>
          <w:lang w:val="en-US"/>
        </w:rPr>
        <w:t>[</w:t>
      </w:r>
      <w:r>
        <w:rPr>
          <w:lang w:val="en-US"/>
        </w:rPr>
        <w:t>2</w:t>
      </w:r>
      <w:r w:rsidRPr="005167E5">
        <w:rPr>
          <w:lang w:val="en-US"/>
        </w:rPr>
        <w:t>1]</w:t>
      </w:r>
      <w:r w:rsidRPr="005167E5">
        <w:rPr>
          <w:lang w:val="en-US"/>
        </w:rPr>
        <w:tab/>
      </w:r>
      <w:r w:rsidRPr="00AB60F8">
        <w:rPr>
          <w:lang w:val="en-US"/>
        </w:rPr>
        <w:t>A. E. Shalan, A. N. El-</w:t>
      </w:r>
      <w:proofErr w:type="spellStart"/>
      <w:r w:rsidRPr="00AB60F8">
        <w:rPr>
          <w:lang w:val="en-US"/>
        </w:rPr>
        <w:t>Shazly</w:t>
      </w:r>
      <w:proofErr w:type="spellEnd"/>
      <w:r w:rsidRPr="00AB60F8">
        <w:rPr>
          <w:lang w:val="en-US"/>
        </w:rPr>
        <w:t xml:space="preserve">, M. M. Rashad, N. K. Allam, </w:t>
      </w:r>
      <w:r w:rsidRPr="00AB60F8">
        <w:rPr>
          <w:i/>
          <w:lang w:val="en-US"/>
        </w:rPr>
        <w:t>Nanoscale Adv.</w:t>
      </w:r>
      <w:r w:rsidRPr="00AB60F8">
        <w:rPr>
          <w:lang w:val="en-US"/>
        </w:rPr>
        <w:t xml:space="preserve"> </w:t>
      </w:r>
      <w:r w:rsidRPr="00AB60F8">
        <w:rPr>
          <w:b/>
          <w:lang w:val="en-US"/>
        </w:rPr>
        <w:t>2019</w:t>
      </w:r>
      <w:r>
        <w:rPr>
          <w:lang w:val="en-US"/>
        </w:rPr>
        <w:t xml:space="preserve">, </w:t>
      </w:r>
      <w:r w:rsidRPr="00AB60F8">
        <w:rPr>
          <w:i/>
          <w:lang w:val="en-US"/>
        </w:rPr>
        <w:t>1</w:t>
      </w:r>
      <w:r w:rsidRPr="00AB60F8">
        <w:rPr>
          <w:lang w:val="en-US"/>
        </w:rPr>
        <w:t>, 2654.</w:t>
      </w:r>
    </w:p>
    <w:p w14:paraId="3A8802BC" w14:textId="77777777" w:rsidR="006405BB" w:rsidRPr="006405BB" w:rsidRDefault="006405BB" w:rsidP="006405BB">
      <w:pPr>
        <w:pStyle w:val="Literature"/>
        <w:spacing w:line="360" w:lineRule="auto"/>
        <w:rPr>
          <w:lang w:val="it-IT"/>
        </w:rPr>
      </w:pPr>
      <w:r>
        <w:rPr>
          <w:lang w:val="en-US"/>
        </w:rPr>
        <w:t>[22</w:t>
      </w:r>
      <w:r w:rsidRPr="005167E5">
        <w:rPr>
          <w:lang w:val="en-US"/>
        </w:rPr>
        <w:t>]</w:t>
      </w:r>
      <w:r w:rsidRPr="005167E5">
        <w:rPr>
          <w:lang w:val="en-US"/>
        </w:rPr>
        <w:tab/>
      </w:r>
      <w:r w:rsidRPr="00AB60F8">
        <w:rPr>
          <w:lang w:val="en-US"/>
        </w:rPr>
        <w:t xml:space="preserve">T. Z. Oo, R. Devi Chandra, N. </w:t>
      </w:r>
      <w:proofErr w:type="spellStart"/>
      <w:r w:rsidRPr="00AB60F8">
        <w:rPr>
          <w:lang w:val="en-US"/>
        </w:rPr>
        <w:t>Yantara</w:t>
      </w:r>
      <w:proofErr w:type="spellEnd"/>
      <w:r w:rsidRPr="00AB60F8">
        <w:rPr>
          <w:lang w:val="en-US"/>
        </w:rPr>
        <w:t xml:space="preserve">, R. R. Prabhakar, L. H. Wong, N. Mathews, S. G. </w:t>
      </w:r>
      <w:proofErr w:type="spellStart"/>
      <w:r w:rsidRPr="00AB60F8">
        <w:rPr>
          <w:lang w:val="en-US"/>
        </w:rPr>
        <w:t>Mhaisalkar</w:t>
      </w:r>
      <w:proofErr w:type="spellEnd"/>
      <w:r w:rsidRPr="00AB60F8">
        <w:rPr>
          <w:lang w:val="en-US"/>
        </w:rPr>
        <w:t xml:space="preserve">, </w:t>
      </w:r>
      <w:r w:rsidRPr="00AB60F8">
        <w:rPr>
          <w:i/>
          <w:lang w:val="en-US"/>
        </w:rPr>
        <w:t xml:space="preserve">Org. </w:t>
      </w:r>
      <w:r w:rsidRPr="006405BB">
        <w:rPr>
          <w:i/>
          <w:lang w:val="it-IT"/>
        </w:rPr>
        <w:t>Electron.</w:t>
      </w:r>
      <w:r w:rsidRPr="006405BB">
        <w:rPr>
          <w:lang w:val="it-IT"/>
        </w:rPr>
        <w:t xml:space="preserve"> </w:t>
      </w:r>
      <w:r w:rsidRPr="006405BB">
        <w:rPr>
          <w:b/>
          <w:lang w:val="it-IT"/>
        </w:rPr>
        <w:t>2012</w:t>
      </w:r>
      <w:r w:rsidRPr="006405BB">
        <w:rPr>
          <w:lang w:val="it-IT"/>
        </w:rPr>
        <w:t xml:space="preserve">, </w:t>
      </w:r>
      <w:r w:rsidRPr="006405BB">
        <w:rPr>
          <w:i/>
          <w:lang w:val="it-IT"/>
        </w:rPr>
        <w:t>13</w:t>
      </w:r>
      <w:r w:rsidRPr="006405BB">
        <w:rPr>
          <w:lang w:val="it-IT"/>
        </w:rPr>
        <w:t>, 870.</w:t>
      </w:r>
    </w:p>
    <w:p w14:paraId="0EDDA95C" w14:textId="77777777" w:rsidR="006405BB" w:rsidRPr="00AB60F8" w:rsidRDefault="006405BB" w:rsidP="006405BB">
      <w:pPr>
        <w:pStyle w:val="Literature"/>
        <w:spacing w:line="360" w:lineRule="auto"/>
        <w:rPr>
          <w:lang w:val="it-IT"/>
        </w:rPr>
      </w:pPr>
      <w:r w:rsidRPr="00AB60F8">
        <w:rPr>
          <w:lang w:val="it-IT"/>
        </w:rPr>
        <w:t>[23]</w:t>
      </w:r>
      <w:r w:rsidRPr="00AB60F8">
        <w:rPr>
          <w:lang w:val="it-IT"/>
        </w:rPr>
        <w:tab/>
        <w:t xml:space="preserve">L. Kadri, A. Abderrahmane, G. Bulai, A. Carlescu, C. Doroftei, I. Motrescu, S. Gurlui, L. Leontie, M. Adnane, </w:t>
      </w:r>
      <w:r w:rsidRPr="00AB60F8">
        <w:rPr>
          <w:i/>
          <w:lang w:val="it-IT"/>
        </w:rPr>
        <w:t>Nanomaterials</w:t>
      </w:r>
      <w:r w:rsidRPr="00AB60F8">
        <w:rPr>
          <w:lang w:val="it-IT"/>
        </w:rPr>
        <w:t xml:space="preserve"> </w:t>
      </w:r>
      <w:r w:rsidRPr="00AB60F8">
        <w:rPr>
          <w:b/>
          <w:lang w:val="it-IT"/>
        </w:rPr>
        <w:t>2023</w:t>
      </w:r>
      <w:r w:rsidRPr="00AB60F8">
        <w:rPr>
          <w:lang w:val="it-IT"/>
        </w:rPr>
        <w:t xml:space="preserve">, </w:t>
      </w:r>
      <w:r w:rsidRPr="00AB60F8">
        <w:rPr>
          <w:i/>
          <w:lang w:val="it-IT"/>
        </w:rPr>
        <w:t>13</w:t>
      </w:r>
      <w:r w:rsidRPr="00AB60F8">
        <w:rPr>
          <w:lang w:val="it-IT"/>
        </w:rPr>
        <w:t>, 1632.</w:t>
      </w:r>
    </w:p>
    <w:p w14:paraId="68B6F7B3" w14:textId="77777777" w:rsidR="006405BB" w:rsidRPr="00AB60F8" w:rsidRDefault="006405BB" w:rsidP="006405BB">
      <w:pPr>
        <w:pStyle w:val="Literature"/>
        <w:spacing w:line="360" w:lineRule="auto"/>
        <w:rPr>
          <w:lang w:val="it-IT"/>
        </w:rPr>
      </w:pPr>
      <w:r w:rsidRPr="00AB60F8">
        <w:rPr>
          <w:lang w:val="it-IT"/>
        </w:rPr>
        <w:t>[24]</w:t>
      </w:r>
      <w:r w:rsidRPr="00AB60F8">
        <w:rPr>
          <w:lang w:val="it-IT"/>
        </w:rPr>
        <w:tab/>
        <w:t xml:space="preserve">F. Sadegh, S. Akin, M. Moghadam, V. Mirkhani, M. A. Ruiz‒Preciado, Z. Wang, M. M. Tavakoli, M. Graetzel, A. Hagfeldt, W. Tress, </w:t>
      </w:r>
      <w:r w:rsidRPr="00AB60F8">
        <w:rPr>
          <w:i/>
          <w:lang w:val="it-IT"/>
        </w:rPr>
        <w:t>Nano Energy</w:t>
      </w:r>
      <w:r w:rsidRPr="00AB60F8">
        <w:rPr>
          <w:lang w:val="it-IT"/>
        </w:rPr>
        <w:t xml:space="preserve"> </w:t>
      </w:r>
      <w:r w:rsidRPr="00AB60F8">
        <w:rPr>
          <w:b/>
          <w:lang w:val="it-IT"/>
        </w:rPr>
        <w:t>2020</w:t>
      </w:r>
      <w:r w:rsidRPr="00AB60F8">
        <w:rPr>
          <w:lang w:val="it-IT"/>
        </w:rPr>
        <w:t xml:space="preserve">, </w:t>
      </w:r>
      <w:r w:rsidRPr="00AB60F8">
        <w:rPr>
          <w:i/>
          <w:lang w:val="it-IT"/>
        </w:rPr>
        <w:t>75</w:t>
      </w:r>
      <w:r w:rsidRPr="00AB60F8">
        <w:rPr>
          <w:lang w:val="it-IT"/>
        </w:rPr>
        <w:t>, 105038.</w:t>
      </w:r>
    </w:p>
    <w:p w14:paraId="4E498098" w14:textId="77777777" w:rsidR="006405BB" w:rsidRPr="006405BB" w:rsidRDefault="006405BB" w:rsidP="006405BB">
      <w:pPr>
        <w:pStyle w:val="Literature"/>
        <w:spacing w:line="360" w:lineRule="auto"/>
      </w:pPr>
      <w:r w:rsidRPr="006405BB">
        <w:lastRenderedPageBreak/>
        <w:t>[25]</w:t>
      </w:r>
      <w:r w:rsidRPr="006405BB">
        <w:tab/>
        <w:t xml:space="preserve">H. Choi, J. Jeong, H. -B. Kim, S. Kim, B. Walker, G. -H. Kim, J. Y. Kim, </w:t>
      </w:r>
      <w:r w:rsidRPr="006405BB">
        <w:rPr>
          <w:i/>
        </w:rPr>
        <w:t>Nano Energy</w:t>
      </w:r>
      <w:r w:rsidRPr="006405BB">
        <w:t xml:space="preserve"> </w:t>
      </w:r>
      <w:r w:rsidRPr="006405BB">
        <w:rPr>
          <w:b/>
        </w:rPr>
        <w:t>2014</w:t>
      </w:r>
      <w:r w:rsidRPr="006405BB">
        <w:t xml:space="preserve">, </w:t>
      </w:r>
      <w:r w:rsidRPr="006405BB">
        <w:rPr>
          <w:i/>
        </w:rPr>
        <w:t>7</w:t>
      </w:r>
      <w:r w:rsidRPr="006405BB">
        <w:t>, 80.</w:t>
      </w:r>
    </w:p>
    <w:p w14:paraId="74D716A4" w14:textId="77777777" w:rsidR="006405BB" w:rsidRPr="006405BB" w:rsidRDefault="006405BB" w:rsidP="006405BB">
      <w:pPr>
        <w:pStyle w:val="Literature"/>
        <w:spacing w:line="360" w:lineRule="auto"/>
      </w:pPr>
      <w:r w:rsidRPr="006405BB">
        <w:t>[26]</w:t>
      </w:r>
      <w:r w:rsidRPr="006405BB">
        <w:tab/>
        <w:t xml:space="preserve">G. Tumen-Ulzii, C. Qin, D. Klotz, M. R. Leyden, P. Wang, M. Auffray, T. Fujihara, T. Matsushima, J. -W. Lee, S. -J. Lee, Y. Yang, C. Adachi, </w:t>
      </w:r>
      <w:r w:rsidRPr="006405BB">
        <w:rPr>
          <w:i/>
        </w:rPr>
        <w:t>Adv. Mater.</w:t>
      </w:r>
      <w:r w:rsidRPr="006405BB">
        <w:t xml:space="preserve"> </w:t>
      </w:r>
      <w:r w:rsidRPr="006405BB">
        <w:rPr>
          <w:b/>
        </w:rPr>
        <w:t>2020</w:t>
      </w:r>
      <w:r w:rsidRPr="006405BB">
        <w:t xml:space="preserve">, </w:t>
      </w:r>
      <w:r w:rsidRPr="006405BB">
        <w:rPr>
          <w:i/>
        </w:rPr>
        <w:t>32</w:t>
      </w:r>
      <w:r w:rsidRPr="006405BB">
        <w:t>, 1905035.</w:t>
      </w:r>
    </w:p>
    <w:p w14:paraId="7A8C8018" w14:textId="77777777" w:rsidR="006405BB" w:rsidRPr="006405BB" w:rsidRDefault="006405BB" w:rsidP="006405BB">
      <w:pPr>
        <w:pStyle w:val="Literature"/>
        <w:spacing w:line="360" w:lineRule="auto"/>
      </w:pPr>
      <w:r w:rsidRPr="006405BB">
        <w:t>[27]</w:t>
      </w:r>
      <w:r w:rsidRPr="006405BB">
        <w:tab/>
        <w:t xml:space="preserve">N. H. Touidjen, B. Bendahmane, M. L. Zeggar, F. Mansour, M. S. Aida, </w:t>
      </w:r>
      <w:r w:rsidRPr="006405BB">
        <w:rPr>
          <w:i/>
        </w:rPr>
        <w:t xml:space="preserve">Sens. Bio-Sens. Res. </w:t>
      </w:r>
      <w:r w:rsidRPr="006405BB">
        <w:rPr>
          <w:b/>
        </w:rPr>
        <w:t>2016</w:t>
      </w:r>
      <w:r w:rsidRPr="006405BB">
        <w:t xml:space="preserve">, </w:t>
      </w:r>
      <w:r w:rsidRPr="006405BB">
        <w:rPr>
          <w:i/>
        </w:rPr>
        <w:t>11</w:t>
      </w:r>
      <w:r w:rsidRPr="006405BB">
        <w:t>, 52.</w:t>
      </w:r>
    </w:p>
    <w:p w14:paraId="7B1B15EC" w14:textId="77777777" w:rsidR="006405BB" w:rsidRPr="006405BB" w:rsidRDefault="006405BB" w:rsidP="006405BB">
      <w:pPr>
        <w:pStyle w:val="Literature"/>
        <w:spacing w:line="360" w:lineRule="auto"/>
      </w:pPr>
      <w:r w:rsidRPr="006405BB">
        <w:t>[28]</w:t>
      </w:r>
      <w:r w:rsidRPr="006405BB">
        <w:tab/>
        <w:t xml:space="preserve">G. Turgut, E. Sönmez, </w:t>
      </w:r>
      <w:r w:rsidRPr="006405BB">
        <w:rPr>
          <w:i/>
        </w:rPr>
        <w:t>Superlattices Microstruct.</w:t>
      </w:r>
      <w:r w:rsidRPr="006405BB">
        <w:t xml:space="preserve"> </w:t>
      </w:r>
      <w:r w:rsidRPr="006405BB">
        <w:rPr>
          <w:b/>
        </w:rPr>
        <w:t>2014</w:t>
      </w:r>
      <w:r w:rsidRPr="006405BB">
        <w:t xml:space="preserve">, </w:t>
      </w:r>
      <w:r w:rsidRPr="006405BB">
        <w:rPr>
          <w:i/>
        </w:rPr>
        <w:t>69</w:t>
      </w:r>
      <w:r w:rsidRPr="006405BB">
        <w:t>, 175.</w:t>
      </w:r>
    </w:p>
    <w:p w14:paraId="5924ECA7" w14:textId="77777777" w:rsidR="006405BB" w:rsidRPr="006405BB" w:rsidRDefault="006405BB" w:rsidP="006405BB">
      <w:pPr>
        <w:pStyle w:val="Literature"/>
        <w:spacing w:line="360" w:lineRule="auto"/>
      </w:pPr>
      <w:r w:rsidRPr="006405BB">
        <w:t>[29]</w:t>
      </w:r>
      <w:r w:rsidRPr="006405BB">
        <w:tab/>
        <w:t xml:space="preserve">B. Chen, Z. Yu, K. Liu, X. Zheng, Y. Liu, J. Shi, D. Spronk, P. N. Rudd, Z. Holman, J. Huang, </w:t>
      </w:r>
      <w:r w:rsidRPr="006405BB">
        <w:rPr>
          <w:i/>
        </w:rPr>
        <w:t>Joule</w:t>
      </w:r>
      <w:r w:rsidRPr="006405BB">
        <w:t xml:space="preserve"> </w:t>
      </w:r>
      <w:r w:rsidRPr="006405BB">
        <w:rPr>
          <w:b/>
        </w:rPr>
        <w:t>2019</w:t>
      </w:r>
      <w:r w:rsidRPr="006405BB">
        <w:t xml:space="preserve">, </w:t>
      </w:r>
      <w:r w:rsidRPr="006405BB">
        <w:rPr>
          <w:i/>
        </w:rPr>
        <w:t>3</w:t>
      </w:r>
      <w:r w:rsidRPr="006405BB">
        <w:t>, 177.</w:t>
      </w:r>
    </w:p>
    <w:p w14:paraId="7897AE7D" w14:textId="77777777" w:rsidR="006405BB" w:rsidRPr="006405BB" w:rsidRDefault="006405BB" w:rsidP="006405BB">
      <w:pPr>
        <w:pStyle w:val="Literature"/>
        <w:spacing w:line="360" w:lineRule="auto"/>
        <w:rPr>
          <w:color w:val="FF0000"/>
        </w:rPr>
      </w:pPr>
      <w:r w:rsidRPr="006405BB">
        <w:t>[30]</w:t>
      </w:r>
      <w:r w:rsidRPr="006405BB">
        <w:tab/>
        <w:t xml:space="preserve">S. Pang, C. Zhang, H. Zhang, H. Dong, D. Chen, W. Zhu, H. Xi, J. Chang, Z. Lin, J. Zhang, Y. Hao, </w:t>
      </w:r>
      <w:r w:rsidRPr="006405BB">
        <w:rPr>
          <w:i/>
        </w:rPr>
        <w:t>Appl. Surf. Sci.</w:t>
      </w:r>
      <w:r w:rsidRPr="006405BB">
        <w:t xml:space="preserve"> </w:t>
      </w:r>
      <w:r w:rsidRPr="006405BB">
        <w:rPr>
          <w:b/>
        </w:rPr>
        <w:t>2020</w:t>
      </w:r>
      <w:r w:rsidRPr="006405BB">
        <w:t xml:space="preserve">, </w:t>
      </w:r>
      <w:r w:rsidRPr="006405BB">
        <w:rPr>
          <w:i/>
        </w:rPr>
        <w:t>507</w:t>
      </w:r>
      <w:r w:rsidRPr="006405BB">
        <w:t>, 145099.</w:t>
      </w:r>
    </w:p>
    <w:p w14:paraId="6E0DD9DC" w14:textId="77777777" w:rsidR="006405BB" w:rsidRPr="006405BB" w:rsidRDefault="006405BB" w:rsidP="006405BB">
      <w:pPr>
        <w:pStyle w:val="Literature"/>
        <w:spacing w:line="360" w:lineRule="auto"/>
      </w:pPr>
      <w:r w:rsidRPr="006405BB">
        <w:t>[31]</w:t>
      </w:r>
      <w:r w:rsidRPr="006405BB">
        <w:tab/>
        <w:t xml:space="preserve">Y. J. Kim, Y. J. Yoo, D. E. Yoo, D. W. Lee, M. S. Kim, H. J. Jang, Y. -C. Kim, J. -H. Jang, I. S. Kang, Y. M. Song, </w:t>
      </w:r>
      <w:r w:rsidRPr="006405BB">
        <w:rPr>
          <w:i/>
        </w:rPr>
        <w:t>ACS Appl. Mater. Interfaces</w:t>
      </w:r>
      <w:r w:rsidRPr="006405BB">
        <w:t xml:space="preserve"> </w:t>
      </w:r>
      <w:r w:rsidRPr="006405BB">
        <w:rPr>
          <w:b/>
        </w:rPr>
        <w:t>2019</w:t>
      </w:r>
      <w:r w:rsidRPr="006405BB">
        <w:t xml:space="preserve">, </w:t>
      </w:r>
      <w:r w:rsidRPr="006405BB">
        <w:rPr>
          <w:i/>
        </w:rPr>
        <w:t>11</w:t>
      </w:r>
      <w:r w:rsidRPr="006405BB">
        <w:t>, 36020.</w:t>
      </w:r>
    </w:p>
    <w:p w14:paraId="246BAEDB" w14:textId="77777777" w:rsidR="006405BB" w:rsidRPr="006405BB" w:rsidRDefault="006405BB" w:rsidP="006405BB">
      <w:pPr>
        <w:pStyle w:val="Literature"/>
        <w:spacing w:line="360" w:lineRule="auto"/>
      </w:pPr>
      <w:r w:rsidRPr="006405BB">
        <w:t>[32]</w:t>
      </w:r>
      <w:r w:rsidRPr="006405BB">
        <w:tab/>
        <w:t xml:space="preserve">X. Liu, Y. Chen, Y. Miao, N. Wei, H. Chen, Z. Qin, M. Feng, Y. Wang, X. Wang, Y. Zhao, </w:t>
      </w:r>
      <w:r w:rsidRPr="006405BB">
        <w:rPr>
          <w:i/>
        </w:rPr>
        <w:t xml:space="preserve">J. Phys. Chem. Lett. </w:t>
      </w:r>
      <w:r w:rsidRPr="006405BB">
        <w:rPr>
          <w:b/>
        </w:rPr>
        <w:t>2022</w:t>
      </w:r>
      <w:r w:rsidRPr="006405BB">
        <w:t xml:space="preserve">, </w:t>
      </w:r>
      <w:r w:rsidRPr="006405BB">
        <w:rPr>
          <w:i/>
        </w:rPr>
        <w:t>13</w:t>
      </w:r>
      <w:r w:rsidRPr="006405BB">
        <w:t>, 5088.</w:t>
      </w:r>
    </w:p>
    <w:p w14:paraId="521FCA9E" w14:textId="77777777" w:rsidR="006405BB" w:rsidRPr="006405BB" w:rsidRDefault="006405BB" w:rsidP="006405BB">
      <w:pPr>
        <w:pStyle w:val="Literature"/>
        <w:spacing w:line="360" w:lineRule="auto"/>
      </w:pPr>
      <w:r w:rsidRPr="006405BB">
        <w:t>[33]</w:t>
      </w:r>
      <w:r w:rsidRPr="006405BB">
        <w:tab/>
        <w:t xml:space="preserve">S. S. Shin, W. S. Yang, J. H. Noh, J. H. Suk, N. J. Jeon, J. H. Park, J. S. Kim, W. M. Seong, S. I. Seok, </w:t>
      </w:r>
      <w:r w:rsidRPr="006405BB">
        <w:rPr>
          <w:i/>
        </w:rPr>
        <w:t>Nat. Commun.</w:t>
      </w:r>
      <w:r w:rsidRPr="006405BB">
        <w:t xml:space="preserve"> </w:t>
      </w:r>
      <w:r w:rsidRPr="006405BB">
        <w:rPr>
          <w:b/>
        </w:rPr>
        <w:t>2015</w:t>
      </w:r>
      <w:r w:rsidRPr="006405BB">
        <w:t xml:space="preserve">, </w:t>
      </w:r>
      <w:r w:rsidRPr="006405BB">
        <w:rPr>
          <w:i/>
        </w:rPr>
        <w:t>6</w:t>
      </w:r>
      <w:r w:rsidRPr="006405BB">
        <w:t>, 7410.</w:t>
      </w:r>
    </w:p>
    <w:p w14:paraId="28ACFF0B" w14:textId="77777777" w:rsidR="006405BB" w:rsidRPr="005167E5" w:rsidRDefault="006405BB" w:rsidP="006405BB">
      <w:pPr>
        <w:pStyle w:val="Literature"/>
        <w:spacing w:line="360" w:lineRule="auto"/>
        <w:rPr>
          <w:lang w:val="en-US"/>
        </w:rPr>
      </w:pPr>
      <w:r w:rsidRPr="006405BB">
        <w:t>[34]</w:t>
      </w:r>
      <w:r w:rsidRPr="006405BB">
        <w:tab/>
        <w:t xml:space="preserve">M. Geiger, R. Acharya, E. Reutter, T. Ferschke, U. Zschieschang, J. Weis, J. Pflaum, H. Klauk, R. T. Weitz, </w:t>
      </w:r>
      <w:r w:rsidRPr="006405BB">
        <w:rPr>
          <w:i/>
        </w:rPr>
        <w:t xml:space="preserve">Adv. </w:t>
      </w:r>
      <w:r w:rsidRPr="008103C2">
        <w:rPr>
          <w:i/>
          <w:lang w:val="en-US"/>
        </w:rPr>
        <w:t>Mater. Interfaces</w:t>
      </w:r>
      <w:r w:rsidRPr="00AB60F8">
        <w:rPr>
          <w:lang w:val="en-US"/>
        </w:rPr>
        <w:t xml:space="preserve"> </w:t>
      </w:r>
      <w:r w:rsidRPr="008103C2">
        <w:rPr>
          <w:b/>
          <w:lang w:val="en-US"/>
        </w:rPr>
        <w:t>2020</w:t>
      </w:r>
      <w:r>
        <w:rPr>
          <w:lang w:val="en-US"/>
        </w:rPr>
        <w:t xml:space="preserve">, </w:t>
      </w:r>
      <w:r w:rsidRPr="008103C2">
        <w:rPr>
          <w:i/>
          <w:lang w:val="en-US"/>
        </w:rPr>
        <w:t>7</w:t>
      </w:r>
      <w:r w:rsidRPr="00AB60F8">
        <w:rPr>
          <w:lang w:val="en-US"/>
        </w:rPr>
        <w:t>, 1902145.</w:t>
      </w:r>
    </w:p>
    <w:p w14:paraId="0FC11534" w14:textId="77777777" w:rsidR="006405BB" w:rsidRPr="00B24F38" w:rsidRDefault="006405BB" w:rsidP="006405BB">
      <w:pPr>
        <w:pStyle w:val="Literature"/>
        <w:spacing w:line="360" w:lineRule="auto"/>
        <w:rPr>
          <w:lang w:val="en-US"/>
        </w:rPr>
      </w:pPr>
      <w:r w:rsidRPr="00B24F38">
        <w:rPr>
          <w:lang w:val="en-US"/>
        </w:rPr>
        <w:t>[</w:t>
      </w:r>
      <w:r>
        <w:rPr>
          <w:lang w:val="en-US"/>
        </w:rPr>
        <w:t>35]</w:t>
      </w:r>
      <w:r>
        <w:rPr>
          <w:lang w:val="en-US"/>
        </w:rPr>
        <w:tab/>
      </w:r>
      <w:r w:rsidRPr="00AB60F8">
        <w:rPr>
          <w:lang w:val="en-US"/>
        </w:rPr>
        <w:t xml:space="preserve">H. V. Quy, C. W. Bark, </w:t>
      </w:r>
      <w:r w:rsidRPr="008103C2">
        <w:rPr>
          <w:i/>
          <w:lang w:val="en-US"/>
        </w:rPr>
        <w:t>ACS Omega</w:t>
      </w:r>
      <w:r w:rsidRPr="00AB60F8">
        <w:rPr>
          <w:lang w:val="en-US"/>
        </w:rPr>
        <w:t xml:space="preserve"> </w:t>
      </w:r>
      <w:r w:rsidRPr="008103C2">
        <w:rPr>
          <w:b/>
          <w:lang w:val="en-US"/>
        </w:rPr>
        <w:t>2022</w:t>
      </w:r>
      <w:r>
        <w:rPr>
          <w:lang w:val="en-US"/>
        </w:rPr>
        <w:t xml:space="preserve">, </w:t>
      </w:r>
      <w:r w:rsidRPr="008103C2">
        <w:rPr>
          <w:i/>
          <w:lang w:val="en-US"/>
        </w:rPr>
        <w:t>7</w:t>
      </w:r>
      <w:r w:rsidRPr="00AB60F8">
        <w:rPr>
          <w:lang w:val="en-US"/>
        </w:rPr>
        <w:t>, 22256.</w:t>
      </w:r>
    </w:p>
    <w:p w14:paraId="7D5714F3" w14:textId="77777777" w:rsidR="006405BB" w:rsidRPr="00480365" w:rsidRDefault="006405BB" w:rsidP="006405BB">
      <w:pPr>
        <w:pStyle w:val="Literature"/>
        <w:spacing w:line="360" w:lineRule="auto"/>
        <w:rPr>
          <w:lang w:val="it-IT"/>
        </w:rPr>
      </w:pPr>
      <w:r w:rsidRPr="00480365">
        <w:rPr>
          <w:lang w:val="it-IT"/>
        </w:rPr>
        <w:t>[36]</w:t>
      </w:r>
      <w:r w:rsidRPr="00480365">
        <w:rPr>
          <w:lang w:val="it-IT"/>
        </w:rPr>
        <w:tab/>
        <w:t xml:space="preserve">H. Mao, Y. Huang, Z. Ma, L. </w:t>
      </w:r>
      <w:proofErr w:type="spellStart"/>
      <w:r w:rsidRPr="00480365">
        <w:rPr>
          <w:lang w:val="it-IT"/>
        </w:rPr>
        <w:t>Jin</w:t>
      </w:r>
      <w:proofErr w:type="spellEnd"/>
      <w:r w:rsidRPr="00480365">
        <w:rPr>
          <w:lang w:val="it-IT"/>
        </w:rPr>
        <w:t xml:space="preserve">, L. Tian, Y. Li, H. </w:t>
      </w:r>
      <w:proofErr w:type="spellStart"/>
      <w:r w:rsidRPr="00480365">
        <w:rPr>
          <w:lang w:val="it-IT"/>
        </w:rPr>
        <w:t>Yu</w:t>
      </w:r>
      <w:proofErr w:type="spellEnd"/>
      <w:r w:rsidRPr="00480365">
        <w:rPr>
          <w:lang w:val="it-IT"/>
        </w:rPr>
        <w:t xml:space="preserve">, C. Peng, </w:t>
      </w:r>
      <w:r w:rsidRPr="00480365">
        <w:rPr>
          <w:i/>
          <w:lang w:val="it-IT"/>
        </w:rPr>
        <w:t>J. Mater. Sci.: Mater. Electron.</w:t>
      </w:r>
      <w:r w:rsidRPr="00480365">
        <w:rPr>
          <w:lang w:val="it-IT"/>
        </w:rPr>
        <w:t xml:space="preserve"> </w:t>
      </w:r>
      <w:r w:rsidRPr="00480365">
        <w:rPr>
          <w:b/>
          <w:lang w:val="it-IT"/>
        </w:rPr>
        <w:t>2019</w:t>
      </w:r>
      <w:r w:rsidRPr="00480365">
        <w:rPr>
          <w:lang w:val="it-IT"/>
        </w:rPr>
        <w:t xml:space="preserve">, </w:t>
      </w:r>
      <w:r w:rsidRPr="00480365">
        <w:rPr>
          <w:i/>
          <w:lang w:val="it-IT"/>
        </w:rPr>
        <w:t>30</w:t>
      </w:r>
      <w:r w:rsidRPr="00480365">
        <w:rPr>
          <w:lang w:val="it-IT"/>
        </w:rPr>
        <w:t>, 3511.</w:t>
      </w:r>
    </w:p>
    <w:p w14:paraId="6B5D132F" w14:textId="542FD0F3" w:rsidR="007B7A09" w:rsidRPr="00480365" w:rsidRDefault="006405BB" w:rsidP="006405BB">
      <w:pPr>
        <w:pStyle w:val="Literature"/>
        <w:spacing w:line="360" w:lineRule="auto"/>
        <w:rPr>
          <w:color w:val="FF0000"/>
          <w:lang w:val="it-IT"/>
        </w:rPr>
      </w:pPr>
      <w:r w:rsidRPr="00480365">
        <w:rPr>
          <w:lang w:val="it-IT"/>
        </w:rPr>
        <w:t>[37]</w:t>
      </w:r>
      <w:r w:rsidRPr="00480365">
        <w:rPr>
          <w:lang w:val="it-IT"/>
        </w:rPr>
        <w:tab/>
        <w:t xml:space="preserve">R. Chen, Y. Feng, C. Zhang, M. Wang, L. Jing, C. Ma, J. Bian, Y. Shi, </w:t>
      </w:r>
      <w:r w:rsidRPr="00480365">
        <w:rPr>
          <w:i/>
          <w:lang w:val="it-IT"/>
        </w:rPr>
        <w:t xml:space="preserve">J. Mater. </w:t>
      </w:r>
      <w:proofErr w:type="spellStart"/>
      <w:r w:rsidRPr="00480365">
        <w:rPr>
          <w:i/>
          <w:lang w:val="it-IT"/>
        </w:rPr>
        <w:t>Chem</w:t>
      </w:r>
      <w:proofErr w:type="spellEnd"/>
      <w:r w:rsidRPr="00480365">
        <w:rPr>
          <w:i/>
          <w:lang w:val="it-IT"/>
        </w:rPr>
        <w:t>. C</w:t>
      </w:r>
      <w:r w:rsidRPr="00480365">
        <w:rPr>
          <w:lang w:val="it-IT"/>
        </w:rPr>
        <w:t xml:space="preserve"> </w:t>
      </w:r>
      <w:r w:rsidRPr="00480365">
        <w:rPr>
          <w:b/>
          <w:lang w:val="it-IT"/>
        </w:rPr>
        <w:t>2020</w:t>
      </w:r>
      <w:r w:rsidRPr="00480365">
        <w:rPr>
          <w:lang w:val="it-IT"/>
        </w:rPr>
        <w:t xml:space="preserve">, </w:t>
      </w:r>
      <w:r w:rsidRPr="00480365">
        <w:rPr>
          <w:i/>
          <w:lang w:val="it-IT"/>
        </w:rPr>
        <w:t>8</w:t>
      </w:r>
      <w:r w:rsidRPr="00480365">
        <w:rPr>
          <w:lang w:val="it-IT"/>
        </w:rPr>
        <w:t>, 9262.</w:t>
      </w:r>
    </w:p>
    <w:p w14:paraId="3CB7A26D" w14:textId="4F9C2B72" w:rsidR="00404548" w:rsidRPr="00480365" w:rsidRDefault="00404548" w:rsidP="008C6D5F">
      <w:pPr>
        <w:pStyle w:val="Literature"/>
        <w:spacing w:line="360" w:lineRule="auto"/>
        <w:rPr>
          <w:lang w:val="it-IT"/>
        </w:rPr>
      </w:pPr>
    </w:p>
    <w:p w14:paraId="353BA03D" w14:textId="77777777" w:rsidR="002D3D6D" w:rsidRPr="00480365" w:rsidRDefault="002D3D6D" w:rsidP="008C6D5F">
      <w:pPr>
        <w:pStyle w:val="Literature"/>
        <w:spacing w:line="360" w:lineRule="auto"/>
        <w:rPr>
          <w:lang w:val="it-IT"/>
        </w:rPr>
      </w:pPr>
    </w:p>
    <w:p w14:paraId="15681BB7" w14:textId="55FBECC8" w:rsidR="00404548" w:rsidRPr="00480365" w:rsidRDefault="00404548" w:rsidP="008C6D5F">
      <w:pPr>
        <w:pStyle w:val="Literature"/>
        <w:spacing w:line="360" w:lineRule="auto"/>
        <w:rPr>
          <w:lang w:val="it-IT"/>
        </w:rPr>
        <w:sectPr w:rsidR="00404548" w:rsidRPr="00480365">
          <w:headerReference w:type="default" r:id="rId19"/>
          <w:footerReference w:type="default" r:id="rId20"/>
          <w:pgSz w:w="11906" w:h="16838"/>
          <w:pgMar w:top="1417" w:right="1417" w:bottom="1134" w:left="1417" w:header="708" w:footer="708" w:gutter="0"/>
          <w:cols w:space="708"/>
          <w:docGrid w:linePitch="360"/>
        </w:sectPr>
      </w:pPr>
    </w:p>
    <w:p w14:paraId="1FD84E3D" w14:textId="4F88EAA7" w:rsidR="00562E2B" w:rsidRPr="00480365" w:rsidRDefault="00562E2B" w:rsidP="008C6D5F">
      <w:pPr>
        <w:spacing w:line="360" w:lineRule="auto"/>
        <w:rPr>
          <w:color w:val="FF0000"/>
          <w:lang w:val="it-IT"/>
        </w:rPr>
      </w:pPr>
    </w:p>
    <w:p w14:paraId="142A5ABC" w14:textId="4145ABE7" w:rsidR="00C56CD4" w:rsidRPr="00480365" w:rsidRDefault="00004A23" w:rsidP="008D03DC">
      <w:pPr>
        <w:spacing w:line="360" w:lineRule="auto"/>
        <w:rPr>
          <w:lang w:val="it-IT"/>
        </w:rPr>
      </w:pPr>
      <w:r w:rsidRPr="00480365">
        <w:rPr>
          <w:lang w:val="it-IT"/>
        </w:rPr>
        <w:br w:type="page"/>
      </w:r>
    </w:p>
    <w:p w14:paraId="5B81A3A7" w14:textId="4A2AEA0D" w:rsidR="007B7A09" w:rsidRPr="00480365" w:rsidRDefault="00907F38" w:rsidP="00EE4C36">
      <w:pPr>
        <w:pStyle w:val="Tableofcontents"/>
        <w:rPr>
          <w:lang w:val="it-IT"/>
        </w:rPr>
      </w:pPr>
      <w:r w:rsidRPr="00480365">
        <w:rPr>
          <w:lang w:val="it-IT"/>
        </w:rPr>
        <w:lastRenderedPageBreak/>
        <w:t xml:space="preserve">Saad Nadeem, Nadia Shahzad*, Sana Mehmood, Muhammad Salik Qureshi, Abdul Sattar, Rabia Liaquat, Sehar Shakir, Muhammad Imran Shahzad, </w:t>
      </w:r>
      <w:r w:rsidR="006405BB" w:rsidRPr="00480365">
        <w:rPr>
          <w:lang w:val="it-IT"/>
        </w:rPr>
        <w:t xml:space="preserve">and </w:t>
      </w:r>
      <w:r w:rsidRPr="00480365">
        <w:rPr>
          <w:lang w:val="it-IT"/>
        </w:rPr>
        <w:t>Diego Pugliese</w:t>
      </w:r>
    </w:p>
    <w:p w14:paraId="177028F8" w14:textId="77777777" w:rsidR="002D16A0" w:rsidRPr="00480365" w:rsidRDefault="002D16A0" w:rsidP="00EE4C36">
      <w:pPr>
        <w:pStyle w:val="Tableofcontents"/>
        <w:rPr>
          <w:lang w:val="it-IT"/>
        </w:rPr>
      </w:pPr>
    </w:p>
    <w:p w14:paraId="70465C77" w14:textId="1E0CC606" w:rsidR="00004A23" w:rsidRPr="000A0BE7" w:rsidRDefault="00907F38" w:rsidP="001073C0">
      <w:pPr>
        <w:pStyle w:val="Tableofcontents"/>
        <w:rPr>
          <w:b/>
        </w:rPr>
      </w:pPr>
      <w:r w:rsidRPr="000A0BE7">
        <w:rPr>
          <w:b/>
        </w:rPr>
        <w:t>Solution-processed zinc-tin-based ternary oxide electron transport layers for planar perovskite solar cells</w:t>
      </w:r>
    </w:p>
    <w:p w14:paraId="34DF5FBF" w14:textId="77777777" w:rsidR="00907F38" w:rsidRDefault="00907F38" w:rsidP="004D0D01">
      <w:pPr>
        <w:pStyle w:val="Tableofcontents"/>
      </w:pPr>
    </w:p>
    <w:p w14:paraId="23F45E0B" w14:textId="0DFDDA46" w:rsidR="00907F38" w:rsidRDefault="00907F38" w:rsidP="00013183">
      <w:pPr>
        <w:pStyle w:val="Tableofcontents"/>
      </w:pPr>
      <w:r>
        <w:rPr>
          <w:noProof/>
        </w:rPr>
        <w:drawing>
          <wp:inline distT="0" distB="0" distL="0" distR="0" wp14:anchorId="495BE9FA" wp14:editId="33B84BC6">
            <wp:extent cx="3960000" cy="720000"/>
            <wp:effectExtent l="0" t="0" r="2540" b="4445"/>
            <wp:docPr id="4505445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544529" name="Picture 450544529"/>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960000" cy="720000"/>
                    </a:xfrm>
                    <a:prstGeom prst="rect">
                      <a:avLst/>
                    </a:prstGeom>
                  </pic:spPr>
                </pic:pic>
              </a:graphicData>
            </a:graphic>
          </wp:inline>
        </w:drawing>
      </w:r>
    </w:p>
    <w:p w14:paraId="70D2E661" w14:textId="77777777" w:rsidR="006405BB" w:rsidRPr="00907F38" w:rsidRDefault="006405BB" w:rsidP="00013183">
      <w:pPr>
        <w:pStyle w:val="Tableofcontents"/>
      </w:pPr>
    </w:p>
    <w:p w14:paraId="45F0D2E2" w14:textId="2DA51581" w:rsidR="006256F5" w:rsidRDefault="008D03DC">
      <w:pPr>
        <w:pStyle w:val="Tableofcontents"/>
      </w:pPr>
      <w:r w:rsidRPr="008D03DC">
        <w:t xml:space="preserve">This study focuses on the potential of zinc-tin-based ternary metal oxides as efficient electron transport layers (ETLs) for perovskite solar cells. </w:t>
      </w:r>
      <w:r w:rsidR="000A0BE7">
        <w:t>T</w:t>
      </w:r>
      <w:r w:rsidR="000A0BE7" w:rsidRPr="008D03DC">
        <w:t xml:space="preserve">he </w:t>
      </w:r>
      <w:r w:rsidRPr="008D03DC">
        <w:t xml:space="preserve">research investigates the structural, morphological, and optoelectronic properties of </w:t>
      </w:r>
      <w:r w:rsidR="000A0BE7">
        <w:t xml:space="preserve">solution-processed </w:t>
      </w:r>
      <w:r w:rsidRPr="008D03DC">
        <w:t>amorphous zinc-tin oxide, crystalline zinc stannate, and their bilayer composition, highlighting their compatibility with mixed-cation mixed-halide perovskite layer.</w:t>
      </w:r>
    </w:p>
    <w:p w14:paraId="29A55AF6" w14:textId="0D472F1D" w:rsidR="006F6604" w:rsidRPr="00907F38" w:rsidRDefault="006F6604" w:rsidP="002C5F73">
      <w:pPr>
        <w:spacing w:line="360" w:lineRule="auto"/>
        <w:rPr>
          <w:lang w:val="en-US"/>
        </w:rPr>
      </w:pPr>
    </w:p>
    <w:p w14:paraId="479F45B1" w14:textId="77777777" w:rsidR="004A7D3E" w:rsidRPr="0059526F" w:rsidRDefault="004A7D3E" w:rsidP="008C6D5F">
      <w:pPr>
        <w:spacing w:line="360" w:lineRule="auto"/>
        <w:rPr>
          <w:lang w:val="en-US"/>
        </w:rPr>
      </w:pPr>
    </w:p>
    <w:sectPr w:rsidR="004A7D3E" w:rsidRPr="0059526F" w:rsidSect="00404548">
      <w:type w:val="continuous"/>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A7BCC0" w14:textId="77777777" w:rsidR="00D81738" w:rsidRDefault="00D81738">
      <w:r>
        <w:separator/>
      </w:r>
    </w:p>
  </w:endnote>
  <w:endnote w:type="continuationSeparator" w:id="0">
    <w:p w14:paraId="29D94BD7" w14:textId="77777777" w:rsidR="00D81738" w:rsidRDefault="00D817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5B96A1" w14:textId="77777777" w:rsidR="005E15DE" w:rsidRDefault="005E15DE">
    <w:pPr>
      <w:pStyle w:val="Pidipagina"/>
      <w:jc w:val="center"/>
    </w:pPr>
    <w:r>
      <w:fldChar w:fldCharType="begin"/>
    </w:r>
    <w:r>
      <w:instrText>PAGE   \* MERGEFORMAT</w:instrText>
    </w:r>
    <w:r>
      <w:fldChar w:fldCharType="separate"/>
    </w:r>
    <w:r>
      <w:rPr>
        <w:noProof/>
      </w:rPr>
      <w:t>2</w:t>
    </w:r>
    <w:r>
      <w:fldChar w:fldCharType="end"/>
    </w:r>
  </w:p>
  <w:p w14:paraId="76AE581B" w14:textId="77777777" w:rsidR="005E15DE" w:rsidRDefault="005E15DE" w:rsidP="00881456">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E5294D" w14:textId="77777777" w:rsidR="00D81738" w:rsidRDefault="00D81738">
      <w:r>
        <w:separator/>
      </w:r>
    </w:p>
  </w:footnote>
  <w:footnote w:type="continuationSeparator" w:id="0">
    <w:p w14:paraId="351717C9" w14:textId="77777777" w:rsidR="00D81738" w:rsidRDefault="00D8173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7A9236" w14:textId="1FCC0BCA" w:rsidR="005E15DE" w:rsidRPr="009B44CC" w:rsidRDefault="005E15DE" w:rsidP="009B44CC">
    <w:pPr>
      <w:pStyle w:val="Intestazione"/>
      <w:tabs>
        <w:tab w:val="left" w:pos="5003"/>
      </w:tabs>
      <w:jc w:val="right"/>
      <w:rPr>
        <w:lang w:val="en-US"/>
      </w:rPr>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5E6983"/>
    <w:multiLevelType w:val="hybridMultilevel"/>
    <w:tmpl w:val="E9620C5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3C7C77"/>
    <w:multiLevelType w:val="hybridMultilevel"/>
    <w:tmpl w:val="A234223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F037835"/>
    <w:multiLevelType w:val="hybridMultilevel"/>
    <w:tmpl w:val="9BF8FA9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0031762"/>
    <w:multiLevelType w:val="hybridMultilevel"/>
    <w:tmpl w:val="B57C02F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60220546">
    <w:abstractNumId w:val="3"/>
  </w:num>
  <w:num w:numId="2" w16cid:durableId="1228223351">
    <w:abstractNumId w:val="1"/>
  </w:num>
  <w:num w:numId="3" w16cid:durableId="1134642003">
    <w:abstractNumId w:val="2"/>
  </w:num>
  <w:num w:numId="4" w16cid:durableId="12453342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16A0"/>
    <w:rsid w:val="000003BB"/>
    <w:rsid w:val="0000374D"/>
    <w:rsid w:val="00004A23"/>
    <w:rsid w:val="00006A0A"/>
    <w:rsid w:val="0000703E"/>
    <w:rsid w:val="000112FC"/>
    <w:rsid w:val="000118B0"/>
    <w:rsid w:val="00011F40"/>
    <w:rsid w:val="00013183"/>
    <w:rsid w:val="0001454A"/>
    <w:rsid w:val="0001683C"/>
    <w:rsid w:val="000172E7"/>
    <w:rsid w:val="000214A8"/>
    <w:rsid w:val="00023F64"/>
    <w:rsid w:val="00027FB5"/>
    <w:rsid w:val="000314D2"/>
    <w:rsid w:val="0003318F"/>
    <w:rsid w:val="0004094E"/>
    <w:rsid w:val="00040B7B"/>
    <w:rsid w:val="00041C1B"/>
    <w:rsid w:val="000437F7"/>
    <w:rsid w:val="00050985"/>
    <w:rsid w:val="0005501E"/>
    <w:rsid w:val="00055883"/>
    <w:rsid w:val="0006044D"/>
    <w:rsid w:val="00060583"/>
    <w:rsid w:val="00060D37"/>
    <w:rsid w:val="00062324"/>
    <w:rsid w:val="00063C0E"/>
    <w:rsid w:val="00072EA7"/>
    <w:rsid w:val="00076EAD"/>
    <w:rsid w:val="0008287E"/>
    <w:rsid w:val="00083031"/>
    <w:rsid w:val="0008740B"/>
    <w:rsid w:val="00087E52"/>
    <w:rsid w:val="000904D3"/>
    <w:rsid w:val="0009309C"/>
    <w:rsid w:val="00093F1B"/>
    <w:rsid w:val="000A0BE7"/>
    <w:rsid w:val="000A1F4B"/>
    <w:rsid w:val="000A21A9"/>
    <w:rsid w:val="000A3E93"/>
    <w:rsid w:val="000A472C"/>
    <w:rsid w:val="000A5773"/>
    <w:rsid w:val="000A682F"/>
    <w:rsid w:val="000B05A0"/>
    <w:rsid w:val="000B33EE"/>
    <w:rsid w:val="000B4293"/>
    <w:rsid w:val="000C259E"/>
    <w:rsid w:val="000C3E0C"/>
    <w:rsid w:val="000C6252"/>
    <w:rsid w:val="000C6F8A"/>
    <w:rsid w:val="000D2D4B"/>
    <w:rsid w:val="000D45F4"/>
    <w:rsid w:val="000D5AB4"/>
    <w:rsid w:val="000D66DB"/>
    <w:rsid w:val="000D7EBA"/>
    <w:rsid w:val="000E788B"/>
    <w:rsid w:val="000E7A5B"/>
    <w:rsid w:val="000E7BBA"/>
    <w:rsid w:val="000F512F"/>
    <w:rsid w:val="001013F4"/>
    <w:rsid w:val="001054D4"/>
    <w:rsid w:val="0010686C"/>
    <w:rsid w:val="001073C0"/>
    <w:rsid w:val="00107C5F"/>
    <w:rsid w:val="00107CCC"/>
    <w:rsid w:val="00110011"/>
    <w:rsid w:val="001105BD"/>
    <w:rsid w:val="00116C82"/>
    <w:rsid w:val="00120BE6"/>
    <w:rsid w:val="00120E85"/>
    <w:rsid w:val="00123ADA"/>
    <w:rsid w:val="00125573"/>
    <w:rsid w:val="0012642A"/>
    <w:rsid w:val="00126D17"/>
    <w:rsid w:val="001305BF"/>
    <w:rsid w:val="00131D58"/>
    <w:rsid w:val="001370B1"/>
    <w:rsid w:val="001377CA"/>
    <w:rsid w:val="00140B94"/>
    <w:rsid w:val="001450FB"/>
    <w:rsid w:val="0014658A"/>
    <w:rsid w:val="00147DB8"/>
    <w:rsid w:val="00151683"/>
    <w:rsid w:val="0015392F"/>
    <w:rsid w:val="0015563E"/>
    <w:rsid w:val="00155F66"/>
    <w:rsid w:val="00162C55"/>
    <w:rsid w:val="0016390D"/>
    <w:rsid w:val="00164057"/>
    <w:rsid w:val="00165B37"/>
    <w:rsid w:val="00170369"/>
    <w:rsid w:val="00173757"/>
    <w:rsid w:val="00174176"/>
    <w:rsid w:val="00181D92"/>
    <w:rsid w:val="001823B6"/>
    <w:rsid w:val="001848EB"/>
    <w:rsid w:val="00187DB9"/>
    <w:rsid w:val="0019077D"/>
    <w:rsid w:val="0019194D"/>
    <w:rsid w:val="0019723B"/>
    <w:rsid w:val="001A4240"/>
    <w:rsid w:val="001A6821"/>
    <w:rsid w:val="001A734D"/>
    <w:rsid w:val="001B4224"/>
    <w:rsid w:val="001B7472"/>
    <w:rsid w:val="001C10AC"/>
    <w:rsid w:val="001C55FB"/>
    <w:rsid w:val="001D12BC"/>
    <w:rsid w:val="001D561D"/>
    <w:rsid w:val="001E18CC"/>
    <w:rsid w:val="001E3D2D"/>
    <w:rsid w:val="001E4605"/>
    <w:rsid w:val="001E5F4E"/>
    <w:rsid w:val="001F2689"/>
    <w:rsid w:val="001F2AB7"/>
    <w:rsid w:val="001F3C9B"/>
    <w:rsid w:val="001F3E77"/>
    <w:rsid w:val="001F4BD1"/>
    <w:rsid w:val="001F5110"/>
    <w:rsid w:val="001F5702"/>
    <w:rsid w:val="001F65A2"/>
    <w:rsid w:val="002002FC"/>
    <w:rsid w:val="00201F71"/>
    <w:rsid w:val="00202ABB"/>
    <w:rsid w:val="00203934"/>
    <w:rsid w:val="0020446B"/>
    <w:rsid w:val="00204BA7"/>
    <w:rsid w:val="002072AB"/>
    <w:rsid w:val="00210140"/>
    <w:rsid w:val="00211942"/>
    <w:rsid w:val="00214D95"/>
    <w:rsid w:val="00215531"/>
    <w:rsid w:val="002162B2"/>
    <w:rsid w:val="00216F54"/>
    <w:rsid w:val="00220933"/>
    <w:rsid w:val="00220C72"/>
    <w:rsid w:val="0022540C"/>
    <w:rsid w:val="00226AA4"/>
    <w:rsid w:val="00233C8A"/>
    <w:rsid w:val="00236036"/>
    <w:rsid w:val="00240D90"/>
    <w:rsid w:val="00253CB1"/>
    <w:rsid w:val="002543F9"/>
    <w:rsid w:val="00257ADD"/>
    <w:rsid w:val="00262F56"/>
    <w:rsid w:val="00263723"/>
    <w:rsid w:val="00263CF8"/>
    <w:rsid w:val="00265635"/>
    <w:rsid w:val="00266389"/>
    <w:rsid w:val="002675F7"/>
    <w:rsid w:val="002725A5"/>
    <w:rsid w:val="0027314F"/>
    <w:rsid w:val="0028289F"/>
    <w:rsid w:val="00284157"/>
    <w:rsid w:val="00285631"/>
    <w:rsid w:val="00290D94"/>
    <w:rsid w:val="0029203C"/>
    <w:rsid w:val="00294873"/>
    <w:rsid w:val="002A3579"/>
    <w:rsid w:val="002A4A81"/>
    <w:rsid w:val="002A73A2"/>
    <w:rsid w:val="002A7CE8"/>
    <w:rsid w:val="002B0671"/>
    <w:rsid w:val="002B262F"/>
    <w:rsid w:val="002B3553"/>
    <w:rsid w:val="002B5E06"/>
    <w:rsid w:val="002C0CFF"/>
    <w:rsid w:val="002C5F73"/>
    <w:rsid w:val="002D09B9"/>
    <w:rsid w:val="002D0C72"/>
    <w:rsid w:val="002D16A0"/>
    <w:rsid w:val="002D2930"/>
    <w:rsid w:val="002D2DFF"/>
    <w:rsid w:val="002D3D6D"/>
    <w:rsid w:val="002D5BF8"/>
    <w:rsid w:val="002D7ECC"/>
    <w:rsid w:val="002E1B8F"/>
    <w:rsid w:val="002E2DEF"/>
    <w:rsid w:val="002E4E3E"/>
    <w:rsid w:val="002E76B2"/>
    <w:rsid w:val="002E79A2"/>
    <w:rsid w:val="002F4F4B"/>
    <w:rsid w:val="002F55FD"/>
    <w:rsid w:val="002F594C"/>
    <w:rsid w:val="00301984"/>
    <w:rsid w:val="00301B0B"/>
    <w:rsid w:val="00301E84"/>
    <w:rsid w:val="00302E7A"/>
    <w:rsid w:val="00303D1B"/>
    <w:rsid w:val="003046B7"/>
    <w:rsid w:val="00304930"/>
    <w:rsid w:val="00317A57"/>
    <w:rsid w:val="00320A99"/>
    <w:rsid w:val="0032144B"/>
    <w:rsid w:val="00321E38"/>
    <w:rsid w:val="00322D5B"/>
    <w:rsid w:val="00325AC2"/>
    <w:rsid w:val="00326A1C"/>
    <w:rsid w:val="00327FDC"/>
    <w:rsid w:val="003360E3"/>
    <w:rsid w:val="003371D5"/>
    <w:rsid w:val="003376CD"/>
    <w:rsid w:val="003452C3"/>
    <w:rsid w:val="003501A7"/>
    <w:rsid w:val="0035048A"/>
    <w:rsid w:val="0036263B"/>
    <w:rsid w:val="00363B62"/>
    <w:rsid w:val="003645B0"/>
    <w:rsid w:val="00364B2C"/>
    <w:rsid w:val="003664F1"/>
    <w:rsid w:val="00367E3F"/>
    <w:rsid w:val="00376CD5"/>
    <w:rsid w:val="00377EA5"/>
    <w:rsid w:val="00377F77"/>
    <w:rsid w:val="00383073"/>
    <w:rsid w:val="0038438F"/>
    <w:rsid w:val="00387C67"/>
    <w:rsid w:val="00387D98"/>
    <w:rsid w:val="00390B0F"/>
    <w:rsid w:val="00390B38"/>
    <w:rsid w:val="00390B6B"/>
    <w:rsid w:val="00391CFE"/>
    <w:rsid w:val="0039353B"/>
    <w:rsid w:val="00394F9E"/>
    <w:rsid w:val="00395426"/>
    <w:rsid w:val="00395B91"/>
    <w:rsid w:val="00396615"/>
    <w:rsid w:val="0039700D"/>
    <w:rsid w:val="00397089"/>
    <w:rsid w:val="00397711"/>
    <w:rsid w:val="003978A8"/>
    <w:rsid w:val="003A0F30"/>
    <w:rsid w:val="003A4C44"/>
    <w:rsid w:val="003A5AD0"/>
    <w:rsid w:val="003A6CE3"/>
    <w:rsid w:val="003A7899"/>
    <w:rsid w:val="003B15EE"/>
    <w:rsid w:val="003B49E8"/>
    <w:rsid w:val="003B517D"/>
    <w:rsid w:val="003B60EC"/>
    <w:rsid w:val="003C00ED"/>
    <w:rsid w:val="003C1C0A"/>
    <w:rsid w:val="003C35DF"/>
    <w:rsid w:val="003C4A68"/>
    <w:rsid w:val="003C554F"/>
    <w:rsid w:val="003C61DD"/>
    <w:rsid w:val="003D63E7"/>
    <w:rsid w:val="003E05F1"/>
    <w:rsid w:val="003E113B"/>
    <w:rsid w:val="003E4963"/>
    <w:rsid w:val="003E5092"/>
    <w:rsid w:val="003E715D"/>
    <w:rsid w:val="003F103E"/>
    <w:rsid w:val="003F2E48"/>
    <w:rsid w:val="003F440C"/>
    <w:rsid w:val="003F525A"/>
    <w:rsid w:val="003F7BE6"/>
    <w:rsid w:val="004006A9"/>
    <w:rsid w:val="00404548"/>
    <w:rsid w:val="004052AE"/>
    <w:rsid w:val="004118A5"/>
    <w:rsid w:val="00411996"/>
    <w:rsid w:val="00413672"/>
    <w:rsid w:val="00414041"/>
    <w:rsid w:val="0041415D"/>
    <w:rsid w:val="00414465"/>
    <w:rsid w:val="00414729"/>
    <w:rsid w:val="00414C80"/>
    <w:rsid w:val="00414F4B"/>
    <w:rsid w:val="00415EF9"/>
    <w:rsid w:val="00416629"/>
    <w:rsid w:val="00417DA1"/>
    <w:rsid w:val="00423478"/>
    <w:rsid w:val="00425B76"/>
    <w:rsid w:val="004260A2"/>
    <w:rsid w:val="00426FC6"/>
    <w:rsid w:val="004273BC"/>
    <w:rsid w:val="00427C5F"/>
    <w:rsid w:val="00441EAC"/>
    <w:rsid w:val="004507E5"/>
    <w:rsid w:val="004519AD"/>
    <w:rsid w:val="0045459A"/>
    <w:rsid w:val="004545DB"/>
    <w:rsid w:val="00456009"/>
    <w:rsid w:val="0045786A"/>
    <w:rsid w:val="00460F76"/>
    <w:rsid w:val="00462F12"/>
    <w:rsid w:val="00463050"/>
    <w:rsid w:val="0046340F"/>
    <w:rsid w:val="00464094"/>
    <w:rsid w:val="00466168"/>
    <w:rsid w:val="0046778B"/>
    <w:rsid w:val="00471422"/>
    <w:rsid w:val="004714D4"/>
    <w:rsid w:val="00475712"/>
    <w:rsid w:val="00480365"/>
    <w:rsid w:val="00480CCE"/>
    <w:rsid w:val="00482243"/>
    <w:rsid w:val="00482FAA"/>
    <w:rsid w:val="00487211"/>
    <w:rsid w:val="0049075F"/>
    <w:rsid w:val="00492DA8"/>
    <w:rsid w:val="004A0888"/>
    <w:rsid w:val="004A43B6"/>
    <w:rsid w:val="004A70EE"/>
    <w:rsid w:val="004A774E"/>
    <w:rsid w:val="004A7D3E"/>
    <w:rsid w:val="004A7FF9"/>
    <w:rsid w:val="004B1321"/>
    <w:rsid w:val="004B379D"/>
    <w:rsid w:val="004B5F0C"/>
    <w:rsid w:val="004B6031"/>
    <w:rsid w:val="004C046E"/>
    <w:rsid w:val="004C1609"/>
    <w:rsid w:val="004C216B"/>
    <w:rsid w:val="004C5DD3"/>
    <w:rsid w:val="004C7CD9"/>
    <w:rsid w:val="004C7E36"/>
    <w:rsid w:val="004D0D01"/>
    <w:rsid w:val="004D1237"/>
    <w:rsid w:val="004D1F0B"/>
    <w:rsid w:val="004D30F9"/>
    <w:rsid w:val="004D4A32"/>
    <w:rsid w:val="004D64AB"/>
    <w:rsid w:val="004E7CE8"/>
    <w:rsid w:val="004F271D"/>
    <w:rsid w:val="004F5114"/>
    <w:rsid w:val="004F756C"/>
    <w:rsid w:val="005001FA"/>
    <w:rsid w:val="005019AF"/>
    <w:rsid w:val="0050488D"/>
    <w:rsid w:val="00504D12"/>
    <w:rsid w:val="0050527A"/>
    <w:rsid w:val="0050535A"/>
    <w:rsid w:val="005106F5"/>
    <w:rsid w:val="00511192"/>
    <w:rsid w:val="005118AD"/>
    <w:rsid w:val="00512353"/>
    <w:rsid w:val="005220C2"/>
    <w:rsid w:val="00522E88"/>
    <w:rsid w:val="00523369"/>
    <w:rsid w:val="0052398F"/>
    <w:rsid w:val="00532960"/>
    <w:rsid w:val="00543154"/>
    <w:rsid w:val="00545A73"/>
    <w:rsid w:val="00546DEB"/>
    <w:rsid w:val="00546F0F"/>
    <w:rsid w:val="005477E7"/>
    <w:rsid w:val="00550159"/>
    <w:rsid w:val="00551897"/>
    <w:rsid w:val="00551FFD"/>
    <w:rsid w:val="00552A0F"/>
    <w:rsid w:val="005551ED"/>
    <w:rsid w:val="00556419"/>
    <w:rsid w:val="005572B4"/>
    <w:rsid w:val="005572DD"/>
    <w:rsid w:val="00560564"/>
    <w:rsid w:val="00562E2B"/>
    <w:rsid w:val="00564668"/>
    <w:rsid w:val="00570353"/>
    <w:rsid w:val="005715F5"/>
    <w:rsid w:val="0057171E"/>
    <w:rsid w:val="00571EEC"/>
    <w:rsid w:val="00572666"/>
    <w:rsid w:val="0057267E"/>
    <w:rsid w:val="005726BD"/>
    <w:rsid w:val="00572E2C"/>
    <w:rsid w:val="00574A5A"/>
    <w:rsid w:val="005753B8"/>
    <w:rsid w:val="00583ED5"/>
    <w:rsid w:val="00587437"/>
    <w:rsid w:val="00592678"/>
    <w:rsid w:val="00594644"/>
    <w:rsid w:val="0059526F"/>
    <w:rsid w:val="00596F36"/>
    <w:rsid w:val="005A1741"/>
    <w:rsid w:val="005A235F"/>
    <w:rsid w:val="005A751F"/>
    <w:rsid w:val="005A7719"/>
    <w:rsid w:val="005A77C2"/>
    <w:rsid w:val="005A7D11"/>
    <w:rsid w:val="005B291B"/>
    <w:rsid w:val="005B76C5"/>
    <w:rsid w:val="005B7AF0"/>
    <w:rsid w:val="005B7B8A"/>
    <w:rsid w:val="005C09C6"/>
    <w:rsid w:val="005C458D"/>
    <w:rsid w:val="005C491E"/>
    <w:rsid w:val="005C5E0A"/>
    <w:rsid w:val="005C6C0C"/>
    <w:rsid w:val="005D1582"/>
    <w:rsid w:val="005D2276"/>
    <w:rsid w:val="005D25FD"/>
    <w:rsid w:val="005D2808"/>
    <w:rsid w:val="005D4D67"/>
    <w:rsid w:val="005E0858"/>
    <w:rsid w:val="005E12A2"/>
    <w:rsid w:val="005E15DE"/>
    <w:rsid w:val="005E2794"/>
    <w:rsid w:val="005E3CBF"/>
    <w:rsid w:val="005E6F9D"/>
    <w:rsid w:val="005E7B5A"/>
    <w:rsid w:val="005F01FC"/>
    <w:rsid w:val="005F0C89"/>
    <w:rsid w:val="005F11BF"/>
    <w:rsid w:val="005F151B"/>
    <w:rsid w:val="005F3306"/>
    <w:rsid w:val="005F3701"/>
    <w:rsid w:val="005F41DF"/>
    <w:rsid w:val="005F4521"/>
    <w:rsid w:val="005F5478"/>
    <w:rsid w:val="006006FC"/>
    <w:rsid w:val="006045BA"/>
    <w:rsid w:val="0060583A"/>
    <w:rsid w:val="00611649"/>
    <w:rsid w:val="00611A0E"/>
    <w:rsid w:val="00614154"/>
    <w:rsid w:val="00614BD3"/>
    <w:rsid w:val="00623A77"/>
    <w:rsid w:val="006256F5"/>
    <w:rsid w:val="0063097B"/>
    <w:rsid w:val="00632973"/>
    <w:rsid w:val="006364B8"/>
    <w:rsid w:val="00636A64"/>
    <w:rsid w:val="00636B93"/>
    <w:rsid w:val="00640550"/>
    <w:rsid w:val="006405BB"/>
    <w:rsid w:val="0064326A"/>
    <w:rsid w:val="00644D5D"/>
    <w:rsid w:val="0064695B"/>
    <w:rsid w:val="00646DC7"/>
    <w:rsid w:val="00650F12"/>
    <w:rsid w:val="006511FB"/>
    <w:rsid w:val="00651A9D"/>
    <w:rsid w:val="00654C93"/>
    <w:rsid w:val="00656092"/>
    <w:rsid w:val="0065741C"/>
    <w:rsid w:val="00660B85"/>
    <w:rsid w:val="006622E0"/>
    <w:rsid w:val="00662DCE"/>
    <w:rsid w:val="00664F6D"/>
    <w:rsid w:val="006650B8"/>
    <w:rsid w:val="00666329"/>
    <w:rsid w:val="006672EE"/>
    <w:rsid w:val="0067011F"/>
    <w:rsid w:val="0067015E"/>
    <w:rsid w:val="00675541"/>
    <w:rsid w:val="00680453"/>
    <w:rsid w:val="00682526"/>
    <w:rsid w:val="00683555"/>
    <w:rsid w:val="00686F1D"/>
    <w:rsid w:val="00692F7A"/>
    <w:rsid w:val="00695E06"/>
    <w:rsid w:val="00696315"/>
    <w:rsid w:val="006A0D51"/>
    <w:rsid w:val="006A1C05"/>
    <w:rsid w:val="006A225B"/>
    <w:rsid w:val="006A30D2"/>
    <w:rsid w:val="006A5A6A"/>
    <w:rsid w:val="006A5FE3"/>
    <w:rsid w:val="006B23B2"/>
    <w:rsid w:val="006B3BBF"/>
    <w:rsid w:val="006B4845"/>
    <w:rsid w:val="006B635C"/>
    <w:rsid w:val="006C1708"/>
    <w:rsid w:val="006C1C29"/>
    <w:rsid w:val="006C1F2E"/>
    <w:rsid w:val="006C3782"/>
    <w:rsid w:val="006C3CDE"/>
    <w:rsid w:val="006C4745"/>
    <w:rsid w:val="006D0EE8"/>
    <w:rsid w:val="006D3162"/>
    <w:rsid w:val="006D37E7"/>
    <w:rsid w:val="006D5146"/>
    <w:rsid w:val="006D59D6"/>
    <w:rsid w:val="006D5C04"/>
    <w:rsid w:val="006D7508"/>
    <w:rsid w:val="006E09F1"/>
    <w:rsid w:val="006E0F2F"/>
    <w:rsid w:val="006E19D7"/>
    <w:rsid w:val="006E71B9"/>
    <w:rsid w:val="006F39B2"/>
    <w:rsid w:val="006F5384"/>
    <w:rsid w:val="006F6604"/>
    <w:rsid w:val="006F6896"/>
    <w:rsid w:val="006F71D8"/>
    <w:rsid w:val="006F7D1A"/>
    <w:rsid w:val="00702F6F"/>
    <w:rsid w:val="0070346C"/>
    <w:rsid w:val="007051A0"/>
    <w:rsid w:val="00706496"/>
    <w:rsid w:val="00711A12"/>
    <w:rsid w:val="00711F11"/>
    <w:rsid w:val="007154C4"/>
    <w:rsid w:val="00715DB9"/>
    <w:rsid w:val="007174BE"/>
    <w:rsid w:val="007218A0"/>
    <w:rsid w:val="007238AF"/>
    <w:rsid w:val="00726908"/>
    <w:rsid w:val="007270C7"/>
    <w:rsid w:val="00730F3A"/>
    <w:rsid w:val="00735F34"/>
    <w:rsid w:val="00736944"/>
    <w:rsid w:val="00741200"/>
    <w:rsid w:val="00741333"/>
    <w:rsid w:val="00742FF2"/>
    <w:rsid w:val="00744D6A"/>
    <w:rsid w:val="00746138"/>
    <w:rsid w:val="0074620A"/>
    <w:rsid w:val="00751D50"/>
    <w:rsid w:val="007524A6"/>
    <w:rsid w:val="007527D5"/>
    <w:rsid w:val="00752F3C"/>
    <w:rsid w:val="007561FC"/>
    <w:rsid w:val="00761D34"/>
    <w:rsid w:val="00762D2D"/>
    <w:rsid w:val="00764622"/>
    <w:rsid w:val="00764CAD"/>
    <w:rsid w:val="00770FA1"/>
    <w:rsid w:val="00773884"/>
    <w:rsid w:val="00774813"/>
    <w:rsid w:val="0078052A"/>
    <w:rsid w:val="007812FB"/>
    <w:rsid w:val="00784032"/>
    <w:rsid w:val="00786E79"/>
    <w:rsid w:val="00787925"/>
    <w:rsid w:val="00790E31"/>
    <w:rsid w:val="00791578"/>
    <w:rsid w:val="00793B87"/>
    <w:rsid w:val="0079566E"/>
    <w:rsid w:val="00796509"/>
    <w:rsid w:val="0079691E"/>
    <w:rsid w:val="00797723"/>
    <w:rsid w:val="007B1EEE"/>
    <w:rsid w:val="007B249B"/>
    <w:rsid w:val="007B6D4D"/>
    <w:rsid w:val="007B6FAF"/>
    <w:rsid w:val="007B7A09"/>
    <w:rsid w:val="007C0F7A"/>
    <w:rsid w:val="007D24A9"/>
    <w:rsid w:val="007D27FA"/>
    <w:rsid w:val="007D30B5"/>
    <w:rsid w:val="007D6218"/>
    <w:rsid w:val="007D6699"/>
    <w:rsid w:val="007D7E30"/>
    <w:rsid w:val="007E0A75"/>
    <w:rsid w:val="007E6419"/>
    <w:rsid w:val="007F09C2"/>
    <w:rsid w:val="007F6815"/>
    <w:rsid w:val="007F6BA8"/>
    <w:rsid w:val="0080681B"/>
    <w:rsid w:val="0080738C"/>
    <w:rsid w:val="00810B77"/>
    <w:rsid w:val="00813C0B"/>
    <w:rsid w:val="00817436"/>
    <w:rsid w:val="00822217"/>
    <w:rsid w:val="0082542D"/>
    <w:rsid w:val="00827834"/>
    <w:rsid w:val="00832835"/>
    <w:rsid w:val="00835110"/>
    <w:rsid w:val="008351FC"/>
    <w:rsid w:val="00841F50"/>
    <w:rsid w:val="00843A0E"/>
    <w:rsid w:val="00845DFE"/>
    <w:rsid w:val="00846E17"/>
    <w:rsid w:val="0085200A"/>
    <w:rsid w:val="00854283"/>
    <w:rsid w:val="008573E3"/>
    <w:rsid w:val="00861E81"/>
    <w:rsid w:val="008645FF"/>
    <w:rsid w:val="008662E4"/>
    <w:rsid w:val="00866D42"/>
    <w:rsid w:val="0087030E"/>
    <w:rsid w:val="00870AAC"/>
    <w:rsid w:val="008734F7"/>
    <w:rsid w:val="00874E9F"/>
    <w:rsid w:val="00877842"/>
    <w:rsid w:val="008806F8"/>
    <w:rsid w:val="008808E2"/>
    <w:rsid w:val="00881456"/>
    <w:rsid w:val="00881ACB"/>
    <w:rsid w:val="00885FC9"/>
    <w:rsid w:val="00891328"/>
    <w:rsid w:val="00891A47"/>
    <w:rsid w:val="00892809"/>
    <w:rsid w:val="0089370F"/>
    <w:rsid w:val="008939AF"/>
    <w:rsid w:val="00893FED"/>
    <w:rsid w:val="0089449A"/>
    <w:rsid w:val="00895E48"/>
    <w:rsid w:val="00896687"/>
    <w:rsid w:val="008971F4"/>
    <w:rsid w:val="008A0E7D"/>
    <w:rsid w:val="008A3023"/>
    <w:rsid w:val="008A403F"/>
    <w:rsid w:val="008A6815"/>
    <w:rsid w:val="008B1031"/>
    <w:rsid w:val="008B2303"/>
    <w:rsid w:val="008B34A0"/>
    <w:rsid w:val="008B5740"/>
    <w:rsid w:val="008C0B84"/>
    <w:rsid w:val="008C41DA"/>
    <w:rsid w:val="008C553A"/>
    <w:rsid w:val="008C588E"/>
    <w:rsid w:val="008C6D5F"/>
    <w:rsid w:val="008C7226"/>
    <w:rsid w:val="008D03DC"/>
    <w:rsid w:val="008D7B80"/>
    <w:rsid w:val="008E243B"/>
    <w:rsid w:val="008E4184"/>
    <w:rsid w:val="008E549F"/>
    <w:rsid w:val="008E6301"/>
    <w:rsid w:val="008F10BC"/>
    <w:rsid w:val="008F2052"/>
    <w:rsid w:val="008F26ED"/>
    <w:rsid w:val="008F2A38"/>
    <w:rsid w:val="008F3012"/>
    <w:rsid w:val="008F592B"/>
    <w:rsid w:val="008F5ECF"/>
    <w:rsid w:val="00901D14"/>
    <w:rsid w:val="00903775"/>
    <w:rsid w:val="00907F38"/>
    <w:rsid w:val="009109F7"/>
    <w:rsid w:val="00910DAF"/>
    <w:rsid w:val="00912137"/>
    <w:rsid w:val="00915BED"/>
    <w:rsid w:val="00916B64"/>
    <w:rsid w:val="0092145D"/>
    <w:rsid w:val="009245DE"/>
    <w:rsid w:val="00930762"/>
    <w:rsid w:val="00930C0C"/>
    <w:rsid w:val="00936B81"/>
    <w:rsid w:val="00944701"/>
    <w:rsid w:val="00950ED1"/>
    <w:rsid w:val="00952A7A"/>
    <w:rsid w:val="00953A02"/>
    <w:rsid w:val="0095444E"/>
    <w:rsid w:val="00955C67"/>
    <w:rsid w:val="00957B65"/>
    <w:rsid w:val="00960AFF"/>
    <w:rsid w:val="00963F62"/>
    <w:rsid w:val="00965EFC"/>
    <w:rsid w:val="0097161B"/>
    <w:rsid w:val="009762D2"/>
    <w:rsid w:val="009762F1"/>
    <w:rsid w:val="0097692D"/>
    <w:rsid w:val="009776D2"/>
    <w:rsid w:val="00977EA8"/>
    <w:rsid w:val="0098140D"/>
    <w:rsid w:val="00981CED"/>
    <w:rsid w:val="00987225"/>
    <w:rsid w:val="00990870"/>
    <w:rsid w:val="00990DCF"/>
    <w:rsid w:val="009920F5"/>
    <w:rsid w:val="00992B56"/>
    <w:rsid w:val="00992CDA"/>
    <w:rsid w:val="00993342"/>
    <w:rsid w:val="009959E5"/>
    <w:rsid w:val="00996CE4"/>
    <w:rsid w:val="009A0FB3"/>
    <w:rsid w:val="009A3F36"/>
    <w:rsid w:val="009A48D8"/>
    <w:rsid w:val="009A6C59"/>
    <w:rsid w:val="009A7878"/>
    <w:rsid w:val="009B0888"/>
    <w:rsid w:val="009B33DF"/>
    <w:rsid w:val="009B4270"/>
    <w:rsid w:val="009B44CC"/>
    <w:rsid w:val="009B5651"/>
    <w:rsid w:val="009B62E4"/>
    <w:rsid w:val="009B706A"/>
    <w:rsid w:val="009C4319"/>
    <w:rsid w:val="009D109E"/>
    <w:rsid w:val="009D1CD9"/>
    <w:rsid w:val="009D1F28"/>
    <w:rsid w:val="009D28E5"/>
    <w:rsid w:val="009D4830"/>
    <w:rsid w:val="009D520D"/>
    <w:rsid w:val="009D6A18"/>
    <w:rsid w:val="009D797A"/>
    <w:rsid w:val="009E026A"/>
    <w:rsid w:val="009E3B56"/>
    <w:rsid w:val="009E49B5"/>
    <w:rsid w:val="009E551E"/>
    <w:rsid w:val="009E7066"/>
    <w:rsid w:val="009F1EF8"/>
    <w:rsid w:val="009F4604"/>
    <w:rsid w:val="009F4B78"/>
    <w:rsid w:val="009F606B"/>
    <w:rsid w:val="009F6E66"/>
    <w:rsid w:val="009F7888"/>
    <w:rsid w:val="00A02AC3"/>
    <w:rsid w:val="00A06840"/>
    <w:rsid w:val="00A06EAD"/>
    <w:rsid w:val="00A1293C"/>
    <w:rsid w:val="00A14F9B"/>
    <w:rsid w:val="00A167F1"/>
    <w:rsid w:val="00A2085F"/>
    <w:rsid w:val="00A20EC0"/>
    <w:rsid w:val="00A2150B"/>
    <w:rsid w:val="00A215D9"/>
    <w:rsid w:val="00A2292C"/>
    <w:rsid w:val="00A23FC3"/>
    <w:rsid w:val="00A25F1B"/>
    <w:rsid w:val="00A3288D"/>
    <w:rsid w:val="00A329DC"/>
    <w:rsid w:val="00A41135"/>
    <w:rsid w:val="00A41FEB"/>
    <w:rsid w:val="00A42FBA"/>
    <w:rsid w:val="00A44DA6"/>
    <w:rsid w:val="00A50921"/>
    <w:rsid w:val="00A514C0"/>
    <w:rsid w:val="00A5160D"/>
    <w:rsid w:val="00A56CA4"/>
    <w:rsid w:val="00A65F04"/>
    <w:rsid w:val="00A65F2E"/>
    <w:rsid w:val="00A7086D"/>
    <w:rsid w:val="00A71AD5"/>
    <w:rsid w:val="00A750F2"/>
    <w:rsid w:val="00A8073E"/>
    <w:rsid w:val="00A80883"/>
    <w:rsid w:val="00A81BED"/>
    <w:rsid w:val="00A82FC6"/>
    <w:rsid w:val="00A85A0D"/>
    <w:rsid w:val="00A92270"/>
    <w:rsid w:val="00AA10AE"/>
    <w:rsid w:val="00AA329F"/>
    <w:rsid w:val="00AA7B6A"/>
    <w:rsid w:val="00AB593E"/>
    <w:rsid w:val="00AB5D37"/>
    <w:rsid w:val="00AB683F"/>
    <w:rsid w:val="00AC4A2E"/>
    <w:rsid w:val="00AD1885"/>
    <w:rsid w:val="00AD50BA"/>
    <w:rsid w:val="00AE02E7"/>
    <w:rsid w:val="00AE0F75"/>
    <w:rsid w:val="00AE2A18"/>
    <w:rsid w:val="00AE319E"/>
    <w:rsid w:val="00AE3B2C"/>
    <w:rsid w:val="00AE3B4E"/>
    <w:rsid w:val="00AE676F"/>
    <w:rsid w:val="00AE709C"/>
    <w:rsid w:val="00AE7DD9"/>
    <w:rsid w:val="00AF2B38"/>
    <w:rsid w:val="00B004C1"/>
    <w:rsid w:val="00B0168B"/>
    <w:rsid w:val="00B03458"/>
    <w:rsid w:val="00B04B8E"/>
    <w:rsid w:val="00B1072F"/>
    <w:rsid w:val="00B15820"/>
    <w:rsid w:val="00B215D8"/>
    <w:rsid w:val="00B2218A"/>
    <w:rsid w:val="00B246ED"/>
    <w:rsid w:val="00B26DD0"/>
    <w:rsid w:val="00B338C8"/>
    <w:rsid w:val="00B341CC"/>
    <w:rsid w:val="00B35321"/>
    <w:rsid w:val="00B35505"/>
    <w:rsid w:val="00B35CB3"/>
    <w:rsid w:val="00B35E0A"/>
    <w:rsid w:val="00B35E2E"/>
    <w:rsid w:val="00B40124"/>
    <w:rsid w:val="00B40B86"/>
    <w:rsid w:val="00B42E03"/>
    <w:rsid w:val="00B443E2"/>
    <w:rsid w:val="00B453F9"/>
    <w:rsid w:val="00B46222"/>
    <w:rsid w:val="00B54092"/>
    <w:rsid w:val="00B5444C"/>
    <w:rsid w:val="00B5568B"/>
    <w:rsid w:val="00B557BF"/>
    <w:rsid w:val="00B55BD6"/>
    <w:rsid w:val="00B56147"/>
    <w:rsid w:val="00B5720A"/>
    <w:rsid w:val="00B604A0"/>
    <w:rsid w:val="00B60761"/>
    <w:rsid w:val="00B620A5"/>
    <w:rsid w:val="00B62BB1"/>
    <w:rsid w:val="00B63559"/>
    <w:rsid w:val="00B70429"/>
    <w:rsid w:val="00B73979"/>
    <w:rsid w:val="00B751B0"/>
    <w:rsid w:val="00B762E0"/>
    <w:rsid w:val="00B86188"/>
    <w:rsid w:val="00B86C54"/>
    <w:rsid w:val="00B874C4"/>
    <w:rsid w:val="00B97AA2"/>
    <w:rsid w:val="00B97B8E"/>
    <w:rsid w:val="00BA00A8"/>
    <w:rsid w:val="00BA0378"/>
    <w:rsid w:val="00BA37A4"/>
    <w:rsid w:val="00BA4FB0"/>
    <w:rsid w:val="00BA6138"/>
    <w:rsid w:val="00BB1930"/>
    <w:rsid w:val="00BB3478"/>
    <w:rsid w:val="00BC2247"/>
    <w:rsid w:val="00BC5572"/>
    <w:rsid w:val="00BD497C"/>
    <w:rsid w:val="00BD57EE"/>
    <w:rsid w:val="00BE4E8A"/>
    <w:rsid w:val="00BF2A79"/>
    <w:rsid w:val="00BF375F"/>
    <w:rsid w:val="00C02372"/>
    <w:rsid w:val="00C044C3"/>
    <w:rsid w:val="00C10453"/>
    <w:rsid w:val="00C1106A"/>
    <w:rsid w:val="00C12E60"/>
    <w:rsid w:val="00C13BCA"/>
    <w:rsid w:val="00C141B9"/>
    <w:rsid w:val="00C158CF"/>
    <w:rsid w:val="00C16518"/>
    <w:rsid w:val="00C1787D"/>
    <w:rsid w:val="00C20F14"/>
    <w:rsid w:val="00C22B7C"/>
    <w:rsid w:val="00C23B8E"/>
    <w:rsid w:val="00C3184D"/>
    <w:rsid w:val="00C31D03"/>
    <w:rsid w:val="00C331FD"/>
    <w:rsid w:val="00C34DCB"/>
    <w:rsid w:val="00C36D0C"/>
    <w:rsid w:val="00C3708D"/>
    <w:rsid w:val="00C4138A"/>
    <w:rsid w:val="00C440B4"/>
    <w:rsid w:val="00C446F9"/>
    <w:rsid w:val="00C462CB"/>
    <w:rsid w:val="00C46F39"/>
    <w:rsid w:val="00C47AFE"/>
    <w:rsid w:val="00C5067F"/>
    <w:rsid w:val="00C515C3"/>
    <w:rsid w:val="00C51AA2"/>
    <w:rsid w:val="00C52E43"/>
    <w:rsid w:val="00C56CD4"/>
    <w:rsid w:val="00C609C3"/>
    <w:rsid w:val="00C60E16"/>
    <w:rsid w:val="00C65E4E"/>
    <w:rsid w:val="00C66610"/>
    <w:rsid w:val="00C66648"/>
    <w:rsid w:val="00C66FEF"/>
    <w:rsid w:val="00C70CB4"/>
    <w:rsid w:val="00C727A7"/>
    <w:rsid w:val="00C728D5"/>
    <w:rsid w:val="00C72CF7"/>
    <w:rsid w:val="00C75119"/>
    <w:rsid w:val="00C76DD6"/>
    <w:rsid w:val="00C90B62"/>
    <w:rsid w:val="00C91C08"/>
    <w:rsid w:val="00C959F3"/>
    <w:rsid w:val="00C97F0E"/>
    <w:rsid w:val="00CA06AC"/>
    <w:rsid w:val="00CA1A05"/>
    <w:rsid w:val="00CA1D9E"/>
    <w:rsid w:val="00CA242A"/>
    <w:rsid w:val="00CA27BD"/>
    <w:rsid w:val="00CA2AB6"/>
    <w:rsid w:val="00CA36DE"/>
    <w:rsid w:val="00CA4BCC"/>
    <w:rsid w:val="00CA5313"/>
    <w:rsid w:val="00CA54D1"/>
    <w:rsid w:val="00CB01D6"/>
    <w:rsid w:val="00CB311E"/>
    <w:rsid w:val="00CB71E1"/>
    <w:rsid w:val="00CC0ED3"/>
    <w:rsid w:val="00CC1894"/>
    <w:rsid w:val="00CC2EE2"/>
    <w:rsid w:val="00CC3D03"/>
    <w:rsid w:val="00CC45DB"/>
    <w:rsid w:val="00CC5651"/>
    <w:rsid w:val="00CC73FF"/>
    <w:rsid w:val="00CD141E"/>
    <w:rsid w:val="00CD45DA"/>
    <w:rsid w:val="00CE2EA4"/>
    <w:rsid w:val="00CE5714"/>
    <w:rsid w:val="00CE6138"/>
    <w:rsid w:val="00CE6F59"/>
    <w:rsid w:val="00CE7AAB"/>
    <w:rsid w:val="00CF2673"/>
    <w:rsid w:val="00CF2DA1"/>
    <w:rsid w:val="00CF43B1"/>
    <w:rsid w:val="00D0614B"/>
    <w:rsid w:val="00D06AD1"/>
    <w:rsid w:val="00D15A92"/>
    <w:rsid w:val="00D17549"/>
    <w:rsid w:val="00D24D97"/>
    <w:rsid w:val="00D24FB1"/>
    <w:rsid w:val="00D275F5"/>
    <w:rsid w:val="00D376F1"/>
    <w:rsid w:val="00D43CA8"/>
    <w:rsid w:val="00D4523D"/>
    <w:rsid w:val="00D4593F"/>
    <w:rsid w:val="00D45BD4"/>
    <w:rsid w:val="00D4775B"/>
    <w:rsid w:val="00D47AB8"/>
    <w:rsid w:val="00D55D94"/>
    <w:rsid w:val="00D56566"/>
    <w:rsid w:val="00D56B64"/>
    <w:rsid w:val="00D647A4"/>
    <w:rsid w:val="00D6487A"/>
    <w:rsid w:val="00D648BB"/>
    <w:rsid w:val="00D64E04"/>
    <w:rsid w:val="00D65A5E"/>
    <w:rsid w:val="00D669D1"/>
    <w:rsid w:val="00D7049A"/>
    <w:rsid w:val="00D704F6"/>
    <w:rsid w:val="00D722B1"/>
    <w:rsid w:val="00D74A82"/>
    <w:rsid w:val="00D753F6"/>
    <w:rsid w:val="00D7737D"/>
    <w:rsid w:val="00D805CB"/>
    <w:rsid w:val="00D80897"/>
    <w:rsid w:val="00D81375"/>
    <w:rsid w:val="00D81738"/>
    <w:rsid w:val="00D8540E"/>
    <w:rsid w:val="00D85C4D"/>
    <w:rsid w:val="00D8730B"/>
    <w:rsid w:val="00D9072A"/>
    <w:rsid w:val="00D918AE"/>
    <w:rsid w:val="00D94852"/>
    <w:rsid w:val="00DA039C"/>
    <w:rsid w:val="00DA10B4"/>
    <w:rsid w:val="00DA6EBE"/>
    <w:rsid w:val="00DA7248"/>
    <w:rsid w:val="00DB27CC"/>
    <w:rsid w:val="00DB2A54"/>
    <w:rsid w:val="00DB4B47"/>
    <w:rsid w:val="00DB4EF9"/>
    <w:rsid w:val="00DC29FE"/>
    <w:rsid w:val="00DC430C"/>
    <w:rsid w:val="00DC43A2"/>
    <w:rsid w:val="00DC60FB"/>
    <w:rsid w:val="00DC7319"/>
    <w:rsid w:val="00DC742E"/>
    <w:rsid w:val="00DD38DC"/>
    <w:rsid w:val="00DD63FF"/>
    <w:rsid w:val="00DF1BBF"/>
    <w:rsid w:val="00DF3145"/>
    <w:rsid w:val="00DF4B0E"/>
    <w:rsid w:val="00DF6ECE"/>
    <w:rsid w:val="00E01E4B"/>
    <w:rsid w:val="00E062B0"/>
    <w:rsid w:val="00E0711E"/>
    <w:rsid w:val="00E0770C"/>
    <w:rsid w:val="00E14DFA"/>
    <w:rsid w:val="00E17EA5"/>
    <w:rsid w:val="00E229DB"/>
    <w:rsid w:val="00E2571A"/>
    <w:rsid w:val="00E26EDC"/>
    <w:rsid w:val="00E2713C"/>
    <w:rsid w:val="00E30B42"/>
    <w:rsid w:val="00E342D7"/>
    <w:rsid w:val="00E34D1F"/>
    <w:rsid w:val="00E35C26"/>
    <w:rsid w:val="00E410EA"/>
    <w:rsid w:val="00E41D5C"/>
    <w:rsid w:val="00E437F7"/>
    <w:rsid w:val="00E50D20"/>
    <w:rsid w:val="00E529F9"/>
    <w:rsid w:val="00E55017"/>
    <w:rsid w:val="00E55416"/>
    <w:rsid w:val="00E557D1"/>
    <w:rsid w:val="00E56282"/>
    <w:rsid w:val="00E616BF"/>
    <w:rsid w:val="00E658AA"/>
    <w:rsid w:val="00E6656A"/>
    <w:rsid w:val="00E70D30"/>
    <w:rsid w:val="00E716BA"/>
    <w:rsid w:val="00E75977"/>
    <w:rsid w:val="00E76431"/>
    <w:rsid w:val="00E7686D"/>
    <w:rsid w:val="00E813BA"/>
    <w:rsid w:val="00E8590C"/>
    <w:rsid w:val="00E85F76"/>
    <w:rsid w:val="00E92C2A"/>
    <w:rsid w:val="00E93590"/>
    <w:rsid w:val="00E94506"/>
    <w:rsid w:val="00E95A7B"/>
    <w:rsid w:val="00E969E9"/>
    <w:rsid w:val="00EA01A0"/>
    <w:rsid w:val="00EA155A"/>
    <w:rsid w:val="00EA24D4"/>
    <w:rsid w:val="00EA2851"/>
    <w:rsid w:val="00EA3515"/>
    <w:rsid w:val="00EA55FE"/>
    <w:rsid w:val="00EB0B4F"/>
    <w:rsid w:val="00EB1B59"/>
    <w:rsid w:val="00EB4384"/>
    <w:rsid w:val="00EB6065"/>
    <w:rsid w:val="00EC0826"/>
    <w:rsid w:val="00EC152D"/>
    <w:rsid w:val="00EC1ACD"/>
    <w:rsid w:val="00EC1F4A"/>
    <w:rsid w:val="00EC33B0"/>
    <w:rsid w:val="00EC37AA"/>
    <w:rsid w:val="00EC4E99"/>
    <w:rsid w:val="00EC7E23"/>
    <w:rsid w:val="00ED3A21"/>
    <w:rsid w:val="00ED54F9"/>
    <w:rsid w:val="00ED626A"/>
    <w:rsid w:val="00ED6982"/>
    <w:rsid w:val="00EE0218"/>
    <w:rsid w:val="00EE0E54"/>
    <w:rsid w:val="00EE1033"/>
    <w:rsid w:val="00EE114E"/>
    <w:rsid w:val="00EE4C36"/>
    <w:rsid w:val="00EF24BB"/>
    <w:rsid w:val="00EF2B90"/>
    <w:rsid w:val="00EF32F6"/>
    <w:rsid w:val="00EF4114"/>
    <w:rsid w:val="00EF448F"/>
    <w:rsid w:val="00EF4634"/>
    <w:rsid w:val="00EF472E"/>
    <w:rsid w:val="00EF4A5A"/>
    <w:rsid w:val="00EF4EC4"/>
    <w:rsid w:val="00EF66A9"/>
    <w:rsid w:val="00EF74D8"/>
    <w:rsid w:val="00F01898"/>
    <w:rsid w:val="00F03D02"/>
    <w:rsid w:val="00F058FD"/>
    <w:rsid w:val="00F05EE0"/>
    <w:rsid w:val="00F06985"/>
    <w:rsid w:val="00F07DE8"/>
    <w:rsid w:val="00F156B3"/>
    <w:rsid w:val="00F15FD8"/>
    <w:rsid w:val="00F21A1A"/>
    <w:rsid w:val="00F22813"/>
    <w:rsid w:val="00F22FC8"/>
    <w:rsid w:val="00F27F36"/>
    <w:rsid w:val="00F32B8C"/>
    <w:rsid w:val="00F33383"/>
    <w:rsid w:val="00F33D5B"/>
    <w:rsid w:val="00F4030B"/>
    <w:rsid w:val="00F42F65"/>
    <w:rsid w:val="00F444F5"/>
    <w:rsid w:val="00F4602E"/>
    <w:rsid w:val="00F46BCF"/>
    <w:rsid w:val="00F515AF"/>
    <w:rsid w:val="00F53E05"/>
    <w:rsid w:val="00F5550A"/>
    <w:rsid w:val="00F55A56"/>
    <w:rsid w:val="00F56088"/>
    <w:rsid w:val="00F6031D"/>
    <w:rsid w:val="00F61303"/>
    <w:rsid w:val="00F628F1"/>
    <w:rsid w:val="00F65606"/>
    <w:rsid w:val="00F66614"/>
    <w:rsid w:val="00F67764"/>
    <w:rsid w:val="00F71232"/>
    <w:rsid w:val="00F73EAB"/>
    <w:rsid w:val="00F742D3"/>
    <w:rsid w:val="00F74722"/>
    <w:rsid w:val="00F75F45"/>
    <w:rsid w:val="00F76B01"/>
    <w:rsid w:val="00F82957"/>
    <w:rsid w:val="00F83BD2"/>
    <w:rsid w:val="00F857CA"/>
    <w:rsid w:val="00F92C2B"/>
    <w:rsid w:val="00F94241"/>
    <w:rsid w:val="00F945CD"/>
    <w:rsid w:val="00F95ECF"/>
    <w:rsid w:val="00F9792C"/>
    <w:rsid w:val="00F97AAA"/>
    <w:rsid w:val="00FA4AD8"/>
    <w:rsid w:val="00FB3597"/>
    <w:rsid w:val="00FB53CA"/>
    <w:rsid w:val="00FC3750"/>
    <w:rsid w:val="00FC487C"/>
    <w:rsid w:val="00FC51A5"/>
    <w:rsid w:val="00FD0B36"/>
    <w:rsid w:val="00FD168A"/>
    <w:rsid w:val="00FD3643"/>
    <w:rsid w:val="00FD553C"/>
    <w:rsid w:val="00FD6F5E"/>
    <w:rsid w:val="00FE087D"/>
    <w:rsid w:val="00FE133D"/>
    <w:rsid w:val="00FE2090"/>
    <w:rsid w:val="00FE359D"/>
    <w:rsid w:val="00FE47EA"/>
    <w:rsid w:val="00FE4D5F"/>
    <w:rsid w:val="00FE7BC4"/>
    <w:rsid w:val="00FF29D4"/>
    <w:rsid w:val="00FF388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B6A4608"/>
  <w15:chartTrackingRefBased/>
  <w15:docId w15:val="{EE1E06E1-382E-4319-B3BA-2297F68FD1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04A23"/>
    <w:rPr>
      <w:sz w:val="24"/>
      <w:szCs w:val="24"/>
      <w:lang w:val="de-DE" w:eastAsia="ja-JP"/>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History">
    <w:name w:val="History"/>
    <w:basedOn w:val="Normale"/>
    <w:rsid w:val="005B291B"/>
    <w:pPr>
      <w:spacing w:before="230" w:after="460" w:line="180" w:lineRule="exact"/>
      <w:jc w:val="right"/>
    </w:pPr>
    <w:rPr>
      <w:rFonts w:ascii="Arial" w:hAnsi="Arial"/>
      <w:sz w:val="14"/>
      <w:szCs w:val="16"/>
    </w:rPr>
  </w:style>
  <w:style w:type="paragraph" w:customStyle="1" w:styleId="References">
    <w:name w:val="References"/>
    <w:basedOn w:val="Normale"/>
    <w:rsid w:val="005B291B"/>
    <w:pPr>
      <w:spacing w:line="200" w:lineRule="exact"/>
      <w:ind w:left="425" w:hanging="425"/>
      <w:jc w:val="both"/>
    </w:pPr>
    <w:rPr>
      <w:sz w:val="15"/>
      <w:szCs w:val="14"/>
      <w:lang w:val="en-GB"/>
    </w:rPr>
  </w:style>
  <w:style w:type="paragraph" w:customStyle="1" w:styleId="HExperimentalSection">
    <w:name w:val="HExperimental_Section"/>
    <w:basedOn w:val="Normale"/>
    <w:rsid w:val="005B291B"/>
    <w:pPr>
      <w:spacing w:before="460" w:after="230" w:line="230" w:lineRule="atLeast"/>
    </w:pPr>
    <w:rPr>
      <w:i/>
      <w:szCs w:val="20"/>
    </w:rPr>
  </w:style>
  <w:style w:type="paragraph" w:customStyle="1" w:styleId="ExperimentalSection">
    <w:name w:val="ExperimentalSection"/>
    <w:basedOn w:val="Normale"/>
    <w:rsid w:val="005B291B"/>
    <w:pPr>
      <w:spacing w:after="240" w:line="200" w:lineRule="exact"/>
      <w:ind w:firstLine="170"/>
      <w:jc w:val="both"/>
    </w:pPr>
    <w:rPr>
      <w:sz w:val="16"/>
      <w:szCs w:val="14"/>
      <w:lang w:val="en-GB"/>
    </w:rPr>
  </w:style>
  <w:style w:type="paragraph" w:customStyle="1" w:styleId="FNB">
    <w:name w:val="FNB"/>
    <w:basedOn w:val="Normale"/>
    <w:link w:val="FNBChar"/>
    <w:rsid w:val="005B291B"/>
    <w:pPr>
      <w:widowControl w:val="0"/>
      <w:spacing w:after="40" w:line="160" w:lineRule="exact"/>
      <w:ind w:left="567" w:right="4434" w:hanging="567"/>
      <w:jc w:val="both"/>
    </w:pPr>
    <w:rPr>
      <w:rFonts w:ascii="Times" w:hAnsi="Times"/>
      <w:sz w:val="14"/>
      <w:szCs w:val="3276"/>
      <w:lang w:val="en-GB" w:eastAsia="de-DE"/>
    </w:rPr>
  </w:style>
  <w:style w:type="character" w:customStyle="1" w:styleId="FNBChar">
    <w:name w:val="FNB Char"/>
    <w:link w:val="FNB"/>
    <w:rsid w:val="005B291B"/>
    <w:rPr>
      <w:rFonts w:ascii="Times" w:hAnsi="Times"/>
      <w:sz w:val="14"/>
      <w:szCs w:val="3276"/>
      <w:lang w:val="en-GB" w:eastAsia="de-DE" w:bidi="ar-SA"/>
    </w:rPr>
  </w:style>
  <w:style w:type="paragraph" w:customStyle="1" w:styleId="Ack">
    <w:name w:val="Ack"/>
    <w:basedOn w:val="Normale"/>
    <w:rsid w:val="005B291B"/>
  </w:style>
  <w:style w:type="paragraph" w:customStyle="1" w:styleId="TableCaption">
    <w:name w:val="TableCaption"/>
    <w:basedOn w:val="Normale"/>
    <w:rsid w:val="006511FB"/>
    <w:pPr>
      <w:spacing w:after="120" w:line="190" w:lineRule="exact"/>
      <w:jc w:val="both"/>
    </w:pPr>
    <w:rPr>
      <w:rFonts w:ascii="Arial" w:hAnsi="Arial"/>
      <w:sz w:val="16"/>
      <w:szCs w:val="14"/>
      <w:lang w:val="en-GB"/>
    </w:rPr>
  </w:style>
  <w:style w:type="paragraph" w:customStyle="1" w:styleId="TableHead">
    <w:name w:val="TableHead"/>
    <w:basedOn w:val="TableCaption"/>
    <w:rsid w:val="006511FB"/>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6511FB"/>
  </w:style>
  <w:style w:type="paragraph" w:customStyle="1" w:styleId="TableFoot">
    <w:name w:val="TableFoot"/>
    <w:basedOn w:val="TableBody"/>
    <w:rsid w:val="006511FB"/>
    <w:pPr>
      <w:spacing w:before="60" w:after="60"/>
    </w:pPr>
  </w:style>
  <w:style w:type="paragraph" w:customStyle="1" w:styleId="SchemeCaption">
    <w:name w:val="SchemeCaption"/>
    <w:basedOn w:val="Normale"/>
    <w:rsid w:val="006511FB"/>
    <w:pPr>
      <w:spacing w:before="230" w:after="460" w:line="190" w:lineRule="exact"/>
      <w:jc w:val="both"/>
    </w:pPr>
    <w:rPr>
      <w:rFonts w:ascii="Arial" w:hAnsi="Arial"/>
      <w:sz w:val="16"/>
      <w:szCs w:val="14"/>
      <w:lang w:val="en-GB"/>
    </w:rPr>
  </w:style>
  <w:style w:type="paragraph" w:styleId="Testonotaapidipagina">
    <w:name w:val="footnote text"/>
    <w:basedOn w:val="Normale"/>
    <w:semiHidden/>
    <w:rsid w:val="00D81375"/>
    <w:pPr>
      <w:keepLines/>
      <w:widowControl w:val="0"/>
      <w:jc w:val="both"/>
    </w:pPr>
    <w:rPr>
      <w:rFonts w:eastAsia="Times New Roman"/>
      <w:sz w:val="20"/>
      <w:szCs w:val="20"/>
      <w:lang w:val="en-GB" w:eastAsia="ro-RO"/>
    </w:rPr>
  </w:style>
  <w:style w:type="paragraph" w:customStyle="1" w:styleId="STOE">
    <w:name w:val="STOE"/>
    <w:basedOn w:val="Normale"/>
    <w:link w:val="STOEChar1"/>
    <w:rsid w:val="00D81375"/>
    <w:pPr>
      <w:widowControl w:val="0"/>
      <w:spacing w:line="236" w:lineRule="exact"/>
      <w:ind w:right="4434"/>
      <w:jc w:val="both"/>
    </w:pPr>
    <w:rPr>
      <w:rFonts w:ascii="Times" w:hAnsi="Times"/>
      <w:sz w:val="18"/>
      <w:szCs w:val="3276"/>
      <w:lang w:val="en-GB" w:eastAsia="de-DE"/>
    </w:rPr>
  </w:style>
  <w:style w:type="character" w:customStyle="1" w:styleId="STOEChar1">
    <w:name w:val="STOE Char1"/>
    <w:link w:val="STOE"/>
    <w:rsid w:val="00D81375"/>
    <w:rPr>
      <w:rFonts w:ascii="Times" w:hAnsi="Times"/>
      <w:sz w:val="18"/>
      <w:szCs w:val="3276"/>
      <w:lang w:val="en-GB" w:eastAsia="de-DE" w:bidi="ar-SA"/>
    </w:rPr>
  </w:style>
  <w:style w:type="paragraph" w:styleId="Testofumetto">
    <w:name w:val="Balloon Text"/>
    <w:basedOn w:val="Normale"/>
    <w:semiHidden/>
    <w:rsid w:val="00D81375"/>
    <w:rPr>
      <w:rFonts w:ascii="Tahoma" w:hAnsi="Tahoma" w:cs="Tahoma"/>
      <w:sz w:val="16"/>
      <w:szCs w:val="16"/>
    </w:rPr>
  </w:style>
  <w:style w:type="paragraph" w:styleId="Intestazione">
    <w:name w:val="header"/>
    <w:basedOn w:val="Normale"/>
    <w:link w:val="IntestazioneCarattere"/>
    <w:rsid w:val="00881456"/>
    <w:pPr>
      <w:tabs>
        <w:tab w:val="center" w:pos="4536"/>
        <w:tab w:val="right" w:pos="9072"/>
      </w:tabs>
    </w:pPr>
    <w:rPr>
      <w:lang w:val="x-none"/>
    </w:rPr>
  </w:style>
  <w:style w:type="paragraph" w:styleId="Pidipagina">
    <w:name w:val="footer"/>
    <w:basedOn w:val="Normale"/>
    <w:link w:val="PidipaginaCarattere"/>
    <w:uiPriority w:val="99"/>
    <w:rsid w:val="00881456"/>
    <w:pPr>
      <w:tabs>
        <w:tab w:val="center" w:pos="4536"/>
        <w:tab w:val="right" w:pos="9072"/>
      </w:tabs>
    </w:pPr>
  </w:style>
  <w:style w:type="paragraph" w:customStyle="1" w:styleId="Title1">
    <w:name w:val="Title1"/>
    <w:basedOn w:val="Normale"/>
    <w:rsid w:val="00004A23"/>
    <w:rPr>
      <w:b/>
      <w:lang w:val="en-US"/>
    </w:rPr>
  </w:style>
  <w:style w:type="paragraph" w:customStyle="1" w:styleId="AuthorsFull">
    <w:name w:val="Authors Full"/>
    <w:basedOn w:val="Normale"/>
    <w:rsid w:val="00004A23"/>
    <w:rPr>
      <w:i/>
      <w:lang w:val="en-US"/>
    </w:rPr>
  </w:style>
  <w:style w:type="paragraph" w:customStyle="1" w:styleId="dedication">
    <w:name w:val="dedication"/>
    <w:basedOn w:val="Normale"/>
    <w:rsid w:val="00004A23"/>
    <w:rPr>
      <w:i/>
      <w:lang w:val="en-US"/>
    </w:rPr>
  </w:style>
  <w:style w:type="paragraph" w:customStyle="1" w:styleId="Addresses">
    <w:name w:val="Addresses"/>
    <w:basedOn w:val="Normale"/>
    <w:rsid w:val="00004A23"/>
    <w:rPr>
      <w:lang w:val="en-US"/>
    </w:rPr>
  </w:style>
  <w:style w:type="paragraph" w:customStyle="1" w:styleId="Acknowledgements">
    <w:name w:val="Acknowledgements"/>
    <w:basedOn w:val="Normale"/>
    <w:rsid w:val="00004A23"/>
    <w:rPr>
      <w:lang w:val="en-US"/>
    </w:rPr>
  </w:style>
  <w:style w:type="paragraph" w:customStyle="1" w:styleId="Abstract">
    <w:name w:val="Abstract"/>
    <w:basedOn w:val="Normale"/>
    <w:autoRedefine/>
    <w:rsid w:val="00004A23"/>
    <w:pPr>
      <w:spacing w:line="480" w:lineRule="auto"/>
    </w:pPr>
    <w:rPr>
      <w:lang w:val="en-US"/>
    </w:rPr>
  </w:style>
  <w:style w:type="paragraph" w:customStyle="1" w:styleId="Head1">
    <w:name w:val="Head 1"/>
    <w:basedOn w:val="Normale"/>
    <w:autoRedefine/>
    <w:rsid w:val="00DC43A2"/>
    <w:pPr>
      <w:spacing w:line="360" w:lineRule="auto"/>
    </w:pPr>
    <w:rPr>
      <w:b/>
      <w:bCs/>
      <w:lang w:val="en-US" w:bidi="en-US"/>
    </w:rPr>
  </w:style>
  <w:style w:type="paragraph" w:customStyle="1" w:styleId="Head2">
    <w:name w:val="Head 2"/>
    <w:basedOn w:val="Normale"/>
    <w:autoRedefine/>
    <w:rsid w:val="00004A23"/>
    <w:pPr>
      <w:spacing w:line="360" w:lineRule="auto"/>
    </w:pPr>
    <w:rPr>
      <w:i/>
      <w:lang w:val="en-US"/>
    </w:rPr>
  </w:style>
  <w:style w:type="paragraph" w:customStyle="1" w:styleId="dates">
    <w:name w:val="dates"/>
    <w:basedOn w:val="Normale"/>
    <w:rsid w:val="00004A23"/>
    <w:pPr>
      <w:jc w:val="right"/>
    </w:pPr>
    <w:rPr>
      <w:lang w:val="en-US"/>
    </w:rPr>
  </w:style>
  <w:style w:type="paragraph" w:customStyle="1" w:styleId="Literature">
    <w:name w:val="Literature"/>
    <w:basedOn w:val="Normale"/>
    <w:rsid w:val="00004A23"/>
    <w:pPr>
      <w:spacing w:line="480" w:lineRule="auto"/>
    </w:pPr>
  </w:style>
  <w:style w:type="paragraph" w:customStyle="1" w:styleId="Legend">
    <w:name w:val="Legend"/>
    <w:basedOn w:val="Normale"/>
    <w:rsid w:val="00004A23"/>
    <w:rPr>
      <w:lang w:val="en-US"/>
    </w:rPr>
  </w:style>
  <w:style w:type="paragraph" w:customStyle="1" w:styleId="MainText">
    <w:name w:val="Main Text"/>
    <w:basedOn w:val="Normale"/>
    <w:link w:val="MainTextChar"/>
    <w:rsid w:val="00004A23"/>
    <w:pPr>
      <w:spacing w:line="480" w:lineRule="auto"/>
    </w:pPr>
    <w:rPr>
      <w:lang w:val="en-US"/>
    </w:rPr>
  </w:style>
  <w:style w:type="paragraph" w:customStyle="1" w:styleId="Tableofcontents">
    <w:name w:val="Table of contents"/>
    <w:basedOn w:val="Normale"/>
    <w:autoRedefine/>
    <w:rsid w:val="001073C0"/>
    <w:pPr>
      <w:spacing w:line="360" w:lineRule="auto"/>
      <w:jc w:val="both"/>
    </w:pPr>
    <w:rPr>
      <w:lang w:val="en-US"/>
    </w:rPr>
  </w:style>
  <w:style w:type="paragraph" w:customStyle="1" w:styleId="ExperimentalText">
    <w:name w:val="Experimental Text"/>
    <w:basedOn w:val="Normale"/>
    <w:link w:val="ExperimentalTextChar"/>
    <w:rsid w:val="00004A23"/>
    <w:pPr>
      <w:spacing w:line="480" w:lineRule="auto"/>
    </w:pPr>
    <w:rPr>
      <w:lang w:val="en-US"/>
    </w:rPr>
  </w:style>
  <w:style w:type="character" w:customStyle="1" w:styleId="ExperimentalTextChar">
    <w:name w:val="Experimental Text Char"/>
    <w:link w:val="ExperimentalText"/>
    <w:rsid w:val="00004A23"/>
    <w:rPr>
      <w:rFonts w:eastAsia="MS Mincho"/>
      <w:sz w:val="24"/>
      <w:szCs w:val="24"/>
      <w:lang w:val="en-US" w:eastAsia="ja-JP" w:bidi="ar-SA"/>
    </w:rPr>
  </w:style>
  <w:style w:type="character" w:customStyle="1" w:styleId="MainTextChar">
    <w:name w:val="Main Text Char"/>
    <w:link w:val="MainText"/>
    <w:rsid w:val="00004A23"/>
    <w:rPr>
      <w:rFonts w:eastAsia="MS Mincho"/>
      <w:sz w:val="24"/>
      <w:szCs w:val="24"/>
      <w:lang w:val="en-US" w:eastAsia="ja-JP" w:bidi="ar-SA"/>
    </w:rPr>
  </w:style>
  <w:style w:type="paragraph" w:customStyle="1" w:styleId="Title2">
    <w:name w:val="Title2"/>
    <w:basedOn w:val="Normale"/>
    <w:rsid w:val="002D16A0"/>
    <w:rPr>
      <w:b/>
      <w:lang w:val="en-US"/>
    </w:rPr>
  </w:style>
  <w:style w:type="paragraph" w:customStyle="1" w:styleId="Dedication0">
    <w:name w:val="Dedication"/>
    <w:basedOn w:val="Normale"/>
    <w:autoRedefine/>
    <w:rsid w:val="00322D5B"/>
    <w:rPr>
      <w:lang w:val="en-US"/>
    </w:rPr>
  </w:style>
  <w:style w:type="paragraph" w:customStyle="1" w:styleId="Maintext0">
    <w:name w:val="Main text"/>
    <w:basedOn w:val="Normale"/>
    <w:link w:val="MaintextChar0"/>
    <w:autoRedefine/>
    <w:rsid w:val="0019723B"/>
    <w:pPr>
      <w:spacing w:line="480" w:lineRule="auto"/>
    </w:pPr>
    <w:rPr>
      <w:lang w:val="en-US"/>
    </w:rPr>
  </w:style>
  <w:style w:type="character" w:customStyle="1" w:styleId="MaintextChar0">
    <w:name w:val="Main text Char"/>
    <w:link w:val="Maintext0"/>
    <w:rsid w:val="0019723B"/>
    <w:rPr>
      <w:sz w:val="24"/>
      <w:szCs w:val="24"/>
      <w:lang w:val="en-US" w:eastAsia="ja-JP"/>
    </w:rPr>
  </w:style>
  <w:style w:type="paragraph" w:customStyle="1" w:styleId="Biography">
    <w:name w:val="Biography"/>
    <w:basedOn w:val="Normale"/>
    <w:autoRedefine/>
    <w:rsid w:val="00562E2B"/>
    <w:rPr>
      <w:i/>
      <w:lang w:val="en-US"/>
    </w:rPr>
  </w:style>
  <w:style w:type="character" w:customStyle="1" w:styleId="IntestazioneCarattere">
    <w:name w:val="Intestazione Carattere"/>
    <w:link w:val="Intestazione"/>
    <w:rsid w:val="00414465"/>
    <w:rPr>
      <w:sz w:val="24"/>
      <w:szCs w:val="24"/>
      <w:lang w:eastAsia="ja-JP"/>
    </w:rPr>
  </w:style>
  <w:style w:type="character" w:styleId="Rimandocommento">
    <w:name w:val="annotation reference"/>
    <w:uiPriority w:val="99"/>
    <w:semiHidden/>
    <w:unhideWhenUsed/>
    <w:rsid w:val="00664F6D"/>
    <w:rPr>
      <w:sz w:val="16"/>
      <w:szCs w:val="16"/>
    </w:rPr>
  </w:style>
  <w:style w:type="paragraph" w:styleId="Testocommento">
    <w:name w:val="annotation text"/>
    <w:basedOn w:val="Normale"/>
    <w:link w:val="TestocommentoCarattere"/>
    <w:uiPriority w:val="99"/>
    <w:semiHidden/>
    <w:unhideWhenUsed/>
    <w:rsid w:val="00664F6D"/>
    <w:rPr>
      <w:sz w:val="20"/>
      <w:szCs w:val="20"/>
      <w:lang w:val="x-none"/>
    </w:rPr>
  </w:style>
  <w:style w:type="character" w:customStyle="1" w:styleId="TestocommentoCarattere">
    <w:name w:val="Testo commento Carattere"/>
    <w:link w:val="Testocommento"/>
    <w:uiPriority w:val="99"/>
    <w:semiHidden/>
    <w:rsid w:val="00664F6D"/>
    <w:rPr>
      <w:lang w:eastAsia="ja-JP"/>
    </w:rPr>
  </w:style>
  <w:style w:type="paragraph" w:styleId="Soggettocommento">
    <w:name w:val="annotation subject"/>
    <w:basedOn w:val="Testocommento"/>
    <w:next w:val="Testocommento"/>
    <w:link w:val="SoggettocommentoCarattere"/>
    <w:uiPriority w:val="99"/>
    <w:semiHidden/>
    <w:unhideWhenUsed/>
    <w:rsid w:val="00664F6D"/>
    <w:rPr>
      <w:b/>
      <w:bCs/>
    </w:rPr>
  </w:style>
  <w:style w:type="character" w:customStyle="1" w:styleId="SoggettocommentoCarattere">
    <w:name w:val="Soggetto commento Carattere"/>
    <w:link w:val="Soggettocommento"/>
    <w:uiPriority w:val="99"/>
    <w:semiHidden/>
    <w:rsid w:val="00664F6D"/>
    <w:rPr>
      <w:b/>
      <w:bCs/>
      <w:lang w:eastAsia="ja-JP"/>
    </w:rPr>
  </w:style>
  <w:style w:type="character" w:customStyle="1" w:styleId="PidipaginaCarattere">
    <w:name w:val="Piè di pagina Carattere"/>
    <w:link w:val="Pidipagina"/>
    <w:uiPriority w:val="99"/>
    <w:rsid w:val="007B7A09"/>
    <w:rPr>
      <w:sz w:val="24"/>
      <w:szCs w:val="24"/>
      <w:lang w:eastAsia="ja-JP"/>
    </w:rPr>
  </w:style>
  <w:style w:type="character" w:styleId="Collegamentoipertestuale">
    <w:name w:val="Hyperlink"/>
    <w:basedOn w:val="Carpredefinitoparagrafo"/>
    <w:uiPriority w:val="99"/>
    <w:unhideWhenUsed/>
    <w:rsid w:val="00813C0B"/>
    <w:rPr>
      <w:color w:val="0563C1" w:themeColor="hyperlink"/>
      <w:u w:val="single"/>
    </w:rPr>
  </w:style>
  <w:style w:type="character" w:styleId="Menzionenonrisolta">
    <w:name w:val="Unresolved Mention"/>
    <w:basedOn w:val="Carpredefinitoparagrafo"/>
    <w:uiPriority w:val="99"/>
    <w:semiHidden/>
    <w:unhideWhenUsed/>
    <w:rsid w:val="00813C0B"/>
    <w:rPr>
      <w:color w:val="605E5C"/>
      <w:shd w:val="clear" w:color="auto" w:fill="E1DFDD"/>
    </w:rPr>
  </w:style>
  <w:style w:type="paragraph" w:styleId="Revisione">
    <w:name w:val="Revision"/>
    <w:hidden/>
    <w:uiPriority w:val="99"/>
    <w:semiHidden/>
    <w:rsid w:val="008F5ECF"/>
    <w:rPr>
      <w:sz w:val="24"/>
      <w:szCs w:val="24"/>
      <w:lang w:val="de-DE"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5229863">
      <w:bodyDiv w:val="1"/>
      <w:marLeft w:val="0"/>
      <w:marRight w:val="0"/>
      <w:marTop w:val="0"/>
      <w:marBottom w:val="0"/>
      <w:divBdr>
        <w:top w:val="none" w:sz="0" w:space="0" w:color="auto"/>
        <w:left w:val="none" w:sz="0" w:space="0" w:color="auto"/>
        <w:bottom w:val="none" w:sz="0" w:space="0" w:color="auto"/>
        <w:right w:val="none" w:sz="0" w:space="0" w:color="auto"/>
      </w:divBdr>
    </w:div>
    <w:div w:id="2011636916">
      <w:bodyDiv w:val="1"/>
      <w:marLeft w:val="0"/>
      <w:marRight w:val="0"/>
      <w:marTop w:val="0"/>
      <w:marBottom w:val="0"/>
      <w:divBdr>
        <w:top w:val="none" w:sz="0" w:space="0" w:color="auto"/>
        <w:left w:val="none" w:sz="0" w:space="0" w:color="auto"/>
        <w:bottom w:val="none" w:sz="0" w:space="0" w:color="auto"/>
        <w:right w:val="none" w:sz="0" w:space="0" w:color="auto"/>
      </w:divBdr>
    </w:div>
    <w:div w:id="2079858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tiff"/><Relationship Id="rId18" Type="http://schemas.openxmlformats.org/officeDocument/2006/relationships/image" Target="media/image7.tiff"/><Relationship Id="rId3" Type="http://schemas.openxmlformats.org/officeDocument/2006/relationships/customXml" Target="../customXml/item3.xml"/><Relationship Id="rId21" Type="http://schemas.openxmlformats.org/officeDocument/2006/relationships/image" Target="media/image8.tiff"/><Relationship Id="rId7" Type="http://schemas.openxmlformats.org/officeDocument/2006/relationships/styles" Target="styles.xml"/><Relationship Id="rId12" Type="http://schemas.openxmlformats.org/officeDocument/2006/relationships/image" Target="media/image1.tiff"/><Relationship Id="rId17" Type="http://schemas.openxmlformats.org/officeDocument/2006/relationships/image" Target="media/image6.tiff"/><Relationship Id="rId2" Type="http://schemas.openxmlformats.org/officeDocument/2006/relationships/customXml" Target="../customXml/item2.xml"/><Relationship Id="rId16" Type="http://schemas.openxmlformats.org/officeDocument/2006/relationships/image" Target="media/image5.tif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4.tiff"/><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tiff"/><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ontrolsStorage xmlns="urn:schemas-microsoft-com.VSTO2008Demos.ControlsStorage">
  <Controls>AAEAAAD/////AQAAAAAAAAAMAgAAAEVDaGVtNFdvcmQuQ29yZSwgVmVyc2lvbj0xLjAuMC4wLCBDdWx0dXJlPW5ldXRyYWwsIFB1YmxpY0tleVRva2VuPW51bGwHAQAAAAABAAAAAAAAAAQgQ2hlbTRXb3JkLkNvcmUuQ29udHJvbFByb3BlcnRpZXMCAAAACw==</Controls>
</ControlsStorage>
</file>

<file path=customXml/item5.xml><?xml version="1.0" encoding="utf-8"?>
<ct:contentTypeSchema xmlns:ct="http://schemas.microsoft.com/office/2006/metadata/contentType" xmlns:ma="http://schemas.microsoft.com/office/2006/metadata/properties/metaAttributes" ct:_="" ma:_="" ma:contentTypeName="Dokument" ma:contentTypeID="0x01010070446C3525B3CB46BD92ABA5C2617223" ma:contentTypeVersion="12" ma:contentTypeDescription="Ein neues Dokument erstellen." ma:contentTypeScope="" ma:versionID="ace6bbd061d3e3241e07436f437a906c">
  <xsd:schema xmlns:xsd="http://www.w3.org/2001/XMLSchema" xmlns:xs="http://www.w3.org/2001/XMLSchema" xmlns:p="http://schemas.microsoft.com/office/2006/metadata/properties" xmlns:ns2="981f2fdf-0e4d-4708-9882-12f25bf7d4fe" xmlns:ns3="4fe7dd48-639f-4daa-8770-f50527565b0b" targetNamespace="http://schemas.microsoft.com/office/2006/metadata/properties" ma:root="true" ma:fieldsID="645148a839964f4ba651d3ea90aa0208" ns2:_="" ns3:_="">
    <xsd:import namespace="981f2fdf-0e4d-4708-9882-12f25bf7d4fe"/>
    <xsd:import namespace="4fe7dd48-639f-4daa-8770-f50527565b0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1f2fdf-0e4d-4708-9882-12f25bf7d4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fe7dd48-639f-4daa-8770-f50527565b0b" elementFormDefault="qualified">
    <xsd:import namespace="http://schemas.microsoft.com/office/2006/documentManagement/types"/>
    <xsd:import namespace="http://schemas.microsoft.com/office/infopath/2007/PartnerControls"/>
    <xsd:element name="SharedWithUsers" ma:index="17"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6D19C85-73BE-4F5D-979F-58BFDE5BBE1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8F43931-CEDB-42FF-AEEB-FC6CC30D6694}">
  <ds:schemaRefs>
    <ds:schemaRef ds:uri="http://schemas.openxmlformats.org/officeDocument/2006/bibliography"/>
  </ds:schemaRefs>
</ds:datastoreItem>
</file>

<file path=customXml/itemProps3.xml><?xml version="1.0" encoding="utf-8"?>
<ds:datastoreItem xmlns:ds="http://schemas.openxmlformats.org/officeDocument/2006/customXml" ds:itemID="{75886F76-A765-4714-B899-7AC2DC4334A1}">
  <ds:schemaRefs>
    <ds:schemaRef ds:uri="http://schemas.microsoft.com/sharepoint/v3/contenttype/forms"/>
  </ds:schemaRefs>
</ds:datastoreItem>
</file>

<file path=customXml/itemProps4.xml><?xml version="1.0" encoding="utf-8"?>
<ds:datastoreItem xmlns:ds="http://schemas.openxmlformats.org/officeDocument/2006/customXml" ds:itemID="{E3F19EBF-8207-4BE7-AD18-240ED1895C11}">
  <ds:schemaRefs>
    <ds:schemaRef ds:uri="urn:schemas-microsoft-com.VSTO2008Demos.ControlsStorage"/>
  </ds:schemaRefs>
</ds:datastoreItem>
</file>

<file path=customXml/itemProps5.xml><?xml version="1.0" encoding="utf-8"?>
<ds:datastoreItem xmlns:ds="http://schemas.openxmlformats.org/officeDocument/2006/customXml" ds:itemID="{C86C925C-E763-4769-9959-2FEDA6D7CE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1f2fdf-0e4d-4708-9882-12f25bf7d4fe"/>
    <ds:schemaRef ds:uri="4fe7dd48-639f-4daa-8770-f50527565b0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20579</Words>
  <Characters>117301</Characters>
  <Application>Microsoft Office Word</Application>
  <DocSecurity>0</DocSecurity>
  <Lines>977</Lines>
  <Paragraphs>275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137605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Diego  Pugliese</dc:creator>
  <cp:keywords/>
  <cp:lastModifiedBy>Diego  Pugliese</cp:lastModifiedBy>
  <cp:revision>4</cp:revision>
  <dcterms:created xsi:type="dcterms:W3CDTF">2025-02-26T06:55:00Z</dcterms:created>
  <dcterms:modified xsi:type="dcterms:W3CDTF">2025-02-26T06:58:00Z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0x01010070446C3525B3CB46BD92ABA5C2617223</vt:lpwstr>
  </property>
</Properties>
</file>